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343B9" w14:textId="2DC1C0B4" w:rsidR="00A15242" w:rsidRPr="00B3118E" w:rsidRDefault="00AF34A7" w:rsidP="00AF34A7">
      <w:pPr>
        <w:pStyle w:val="Encabezado"/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Version </w:t>
      </w:r>
      <w:r w:rsidR="000055A8">
        <w:rPr>
          <w:sz w:val="24"/>
          <w:szCs w:val="24"/>
          <w:lang w:val="en-GB"/>
        </w:rPr>
        <w:t>18 March</w:t>
      </w:r>
      <w:r>
        <w:rPr>
          <w:sz w:val="24"/>
          <w:szCs w:val="24"/>
          <w:lang w:val="en-GB"/>
        </w:rPr>
        <w:t xml:space="preserve"> 2019</w:t>
      </w:r>
    </w:p>
    <w:p w14:paraId="3752E9B5" w14:textId="2E5F08E1" w:rsidR="00526499" w:rsidRPr="00B3118E" w:rsidRDefault="00F2730B" w:rsidP="00F2730B">
      <w:pPr>
        <w:jc w:val="center"/>
        <w:rPr>
          <w:rFonts w:cs="Calibri"/>
          <w:b/>
          <w:bCs/>
          <w:color w:val="2F5496" w:themeColor="accent1" w:themeShade="BF"/>
          <w:sz w:val="24"/>
          <w:szCs w:val="24"/>
        </w:rPr>
      </w:pPr>
      <w:r w:rsidRPr="00B3118E">
        <w:rPr>
          <w:rFonts w:cs="Calibri"/>
          <w:b/>
          <w:bCs/>
          <w:noProof/>
          <w:color w:val="2F5496" w:themeColor="accent1" w:themeShade="BF"/>
          <w:sz w:val="24"/>
          <w:szCs w:val="24"/>
          <w:lang w:val="en-US" w:eastAsia="en-US"/>
        </w:rPr>
        <w:drawing>
          <wp:inline distT="0" distB="0" distL="0" distR="0" wp14:anchorId="7700AA4C" wp14:editId="3397DDD7">
            <wp:extent cx="3314700" cy="1158374"/>
            <wp:effectExtent l="0" t="0" r="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LogoGP-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753" cy="115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653CB" w14:textId="77777777" w:rsidR="004F4CC9" w:rsidRPr="00B3118E" w:rsidRDefault="004F4CC9" w:rsidP="004F4CC9">
      <w:pPr>
        <w:jc w:val="center"/>
        <w:rPr>
          <w:b/>
          <w:color w:val="4472C4" w:themeColor="accent1"/>
          <w:spacing w:val="20"/>
          <w:sz w:val="36"/>
          <w:szCs w:val="36"/>
        </w:rPr>
      </w:pPr>
    </w:p>
    <w:p w14:paraId="6E74F04C" w14:textId="25B0A9DA" w:rsidR="00F2730B" w:rsidRPr="00B3118E" w:rsidRDefault="00AD0E96" w:rsidP="004F4CC9">
      <w:pPr>
        <w:jc w:val="center"/>
        <w:rPr>
          <w:b/>
          <w:color w:val="4472C4" w:themeColor="accent1"/>
          <w:spacing w:val="20"/>
          <w:sz w:val="36"/>
          <w:szCs w:val="36"/>
        </w:rPr>
      </w:pPr>
      <w:r>
        <w:rPr>
          <w:b/>
          <w:color w:val="4472C4" w:themeColor="accent1"/>
          <w:spacing w:val="20"/>
          <w:sz w:val="36"/>
          <w:szCs w:val="36"/>
        </w:rPr>
        <w:t>High Level Dialogue</w:t>
      </w:r>
    </w:p>
    <w:p w14:paraId="61BAA18C" w14:textId="5E9A2A51" w:rsidR="00DB394C" w:rsidRPr="00B3118E" w:rsidRDefault="004B09EB" w:rsidP="004F4CC9">
      <w:pPr>
        <w:jc w:val="center"/>
        <w:rPr>
          <w:b/>
          <w:color w:val="4472C4" w:themeColor="accent1"/>
          <w:spacing w:val="20"/>
          <w:sz w:val="36"/>
          <w:szCs w:val="36"/>
        </w:rPr>
      </w:pPr>
      <w:r w:rsidRPr="00B3118E">
        <w:rPr>
          <w:b/>
          <w:color w:val="4472C4" w:themeColor="accent1"/>
          <w:spacing w:val="20"/>
          <w:sz w:val="36"/>
          <w:szCs w:val="36"/>
        </w:rPr>
        <w:t>Concept Note</w:t>
      </w:r>
      <w:r w:rsidR="00C66EC7" w:rsidRPr="00B3118E">
        <w:rPr>
          <w:b/>
          <w:color w:val="4472C4" w:themeColor="accent1"/>
          <w:spacing w:val="20"/>
          <w:sz w:val="36"/>
          <w:szCs w:val="36"/>
        </w:rPr>
        <w:t xml:space="preserve"> Template</w:t>
      </w:r>
    </w:p>
    <w:tbl>
      <w:tblPr>
        <w:tblpPr w:leftFromText="180" w:rightFromText="180" w:vertAnchor="text" w:horzAnchor="margin" w:tblpXSpec="center" w:tblpY="134"/>
        <w:tblW w:w="9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7848"/>
      </w:tblGrid>
      <w:tr w:rsidR="00526499" w:rsidRPr="00B3118E" w14:paraId="2C51F233" w14:textId="77777777" w:rsidTr="00546F59">
        <w:trPr>
          <w:trHeight w:val="305"/>
        </w:trPr>
        <w:tc>
          <w:tcPr>
            <w:tcW w:w="1980" w:type="dxa"/>
          </w:tcPr>
          <w:p w14:paraId="4FD46F86" w14:textId="77777777" w:rsidR="00526499" w:rsidRPr="00B3118E" w:rsidRDefault="00526499" w:rsidP="00FD7302">
            <w:pPr>
              <w:spacing w:before="60" w:after="60" w:line="252" w:lineRule="auto"/>
              <w:rPr>
                <w:b/>
                <w:bCs/>
                <w:sz w:val="24"/>
                <w:szCs w:val="24"/>
              </w:rPr>
            </w:pPr>
            <w:r w:rsidRPr="00B3118E">
              <w:rPr>
                <w:rFonts w:cs="Calibri"/>
                <w:b/>
                <w:bCs/>
                <w:sz w:val="24"/>
                <w:szCs w:val="24"/>
              </w:rPr>
              <w:t>Event title</w:t>
            </w:r>
          </w:p>
        </w:tc>
        <w:tc>
          <w:tcPr>
            <w:tcW w:w="7848" w:type="dxa"/>
          </w:tcPr>
          <w:p w14:paraId="23C7353C" w14:textId="3DBD9251" w:rsidR="00526499" w:rsidRPr="00B3118E" w:rsidRDefault="00063B1C" w:rsidP="00FD7302">
            <w:pPr>
              <w:spacing w:before="60" w:after="60" w:line="252" w:lineRule="auto"/>
              <w:rPr>
                <w:b/>
                <w:bCs/>
                <w:sz w:val="24"/>
                <w:szCs w:val="24"/>
              </w:rPr>
            </w:pPr>
            <w:r w:rsidRPr="000D7DFE">
              <w:rPr>
                <w:rFonts w:asciiTheme="majorHAnsi" w:hAnsiTheme="majorHAnsi"/>
              </w:rPr>
              <w:t>Risk-informed Public and Private investments</w:t>
            </w:r>
          </w:p>
        </w:tc>
      </w:tr>
      <w:tr w:rsidR="00526499" w:rsidRPr="00B3118E" w14:paraId="3FF5D0ED" w14:textId="77777777" w:rsidTr="00546F59">
        <w:tc>
          <w:tcPr>
            <w:tcW w:w="1980" w:type="dxa"/>
          </w:tcPr>
          <w:p w14:paraId="3CD46C7A" w14:textId="77777777" w:rsidR="00526499" w:rsidRPr="00B3118E" w:rsidRDefault="00526499" w:rsidP="00FD7302">
            <w:pPr>
              <w:spacing w:before="60" w:after="60" w:line="252" w:lineRule="auto"/>
              <w:rPr>
                <w:b/>
                <w:bCs/>
                <w:sz w:val="24"/>
                <w:szCs w:val="24"/>
              </w:rPr>
            </w:pPr>
            <w:r w:rsidRPr="00B3118E">
              <w:rPr>
                <w:rFonts w:cs="Calibri"/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7848" w:type="dxa"/>
          </w:tcPr>
          <w:p w14:paraId="3C5264E7" w14:textId="7D0A7FBF" w:rsidR="00526499" w:rsidRPr="00B3118E" w:rsidRDefault="000055A8" w:rsidP="000055A8">
            <w:pPr>
              <w:spacing w:before="60" w:after="60" w:line="252" w:lineRule="auto"/>
              <w:rPr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16 May, 9:00 - 10:30</w:t>
            </w:r>
          </w:p>
        </w:tc>
      </w:tr>
      <w:tr w:rsidR="00526499" w:rsidRPr="00B3118E" w14:paraId="09A16462" w14:textId="77777777" w:rsidTr="00546F59">
        <w:tc>
          <w:tcPr>
            <w:tcW w:w="1980" w:type="dxa"/>
          </w:tcPr>
          <w:p w14:paraId="545CFA39" w14:textId="77777777" w:rsidR="00526499" w:rsidRPr="00B3118E" w:rsidRDefault="00526499" w:rsidP="00FD7302">
            <w:pPr>
              <w:spacing w:before="60" w:after="60" w:line="252" w:lineRule="auto"/>
              <w:rPr>
                <w:b/>
                <w:bCs/>
                <w:sz w:val="24"/>
                <w:szCs w:val="24"/>
              </w:rPr>
            </w:pPr>
            <w:r w:rsidRPr="00B3118E">
              <w:rPr>
                <w:rFonts w:cs="Calibri"/>
                <w:b/>
                <w:bCs/>
                <w:sz w:val="24"/>
                <w:szCs w:val="24"/>
              </w:rPr>
              <w:t>Venue/ Room no.</w:t>
            </w:r>
          </w:p>
        </w:tc>
        <w:tc>
          <w:tcPr>
            <w:tcW w:w="7848" w:type="dxa"/>
          </w:tcPr>
          <w:p w14:paraId="0DF84CA7" w14:textId="16D3B1BC" w:rsidR="00526499" w:rsidRPr="00B3118E" w:rsidRDefault="000055A8" w:rsidP="007F357C">
            <w:pPr>
              <w:spacing w:before="60" w:after="60" w:line="252" w:lineRule="auto"/>
              <w:rPr>
                <w:sz w:val="24"/>
                <w:szCs w:val="24"/>
              </w:rPr>
            </w:pPr>
            <w:r w:rsidRPr="000055A8">
              <w:rPr>
                <w:rFonts w:asciiTheme="majorHAnsi" w:hAnsiTheme="majorHAnsi"/>
              </w:rPr>
              <w:t>Room 1</w:t>
            </w:r>
          </w:p>
        </w:tc>
      </w:tr>
      <w:tr w:rsidR="006240ED" w:rsidRPr="0093613A" w14:paraId="778D98A0" w14:textId="77777777" w:rsidTr="00546F59">
        <w:tc>
          <w:tcPr>
            <w:tcW w:w="1980" w:type="dxa"/>
          </w:tcPr>
          <w:p w14:paraId="5E82DF12" w14:textId="2CE4D912" w:rsidR="006240ED" w:rsidRPr="00B3118E" w:rsidRDefault="006240ED" w:rsidP="00FD7302">
            <w:pPr>
              <w:spacing w:before="60" w:after="60" w:line="252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B3118E">
              <w:rPr>
                <w:rFonts w:cs="Calibri"/>
                <w:b/>
                <w:bCs/>
                <w:sz w:val="24"/>
                <w:szCs w:val="24"/>
              </w:rPr>
              <w:t>UNISDR Focal Point</w:t>
            </w:r>
            <w:r w:rsidR="00791A8A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848" w:type="dxa"/>
          </w:tcPr>
          <w:p w14:paraId="1ACD1E23" w14:textId="525629C6" w:rsidR="006240ED" w:rsidRPr="00610B96" w:rsidRDefault="008747C1" w:rsidP="00FD7302">
            <w:pPr>
              <w:spacing w:before="60" w:after="60" w:line="252" w:lineRule="auto"/>
              <w:rPr>
                <w:rFonts w:cs="Calibri"/>
                <w:b/>
                <w:sz w:val="24"/>
                <w:szCs w:val="24"/>
                <w:lang w:val="es-PA"/>
              </w:rPr>
            </w:pPr>
            <w:r w:rsidRPr="00610B96">
              <w:rPr>
                <w:rFonts w:cs="Calibri"/>
                <w:b/>
                <w:sz w:val="24"/>
                <w:szCs w:val="24"/>
                <w:lang w:val="es-PA"/>
              </w:rPr>
              <w:t>Katarina Mouakkid Soltesova, katarina.mouakkidsoltesova@un.org</w:t>
            </w:r>
          </w:p>
          <w:p w14:paraId="5DB4AE3F" w14:textId="5E4750AB" w:rsidR="00AF287D" w:rsidRPr="00CB19D0" w:rsidRDefault="007334AF" w:rsidP="00FD7302">
            <w:pPr>
              <w:spacing w:before="60" w:after="60" w:line="252" w:lineRule="auto"/>
              <w:rPr>
                <w:rFonts w:cs="Calibri"/>
                <w:b/>
                <w:sz w:val="24"/>
                <w:szCs w:val="24"/>
                <w:lang w:val="es-PA"/>
              </w:rPr>
            </w:pPr>
            <w:r>
              <w:rPr>
                <w:rFonts w:cs="Calibri"/>
                <w:b/>
                <w:sz w:val="24"/>
                <w:szCs w:val="24"/>
                <w:lang w:val="es-PA"/>
              </w:rPr>
              <w:t xml:space="preserve">Raul Salazar, </w:t>
            </w:r>
            <w:r w:rsidR="00AF287D" w:rsidRPr="00CB19D0">
              <w:rPr>
                <w:rFonts w:cs="Calibri"/>
                <w:b/>
                <w:sz w:val="24"/>
                <w:szCs w:val="24"/>
                <w:lang w:val="es-PA"/>
              </w:rPr>
              <w:t>salazarr@un.org</w:t>
            </w:r>
          </w:p>
        </w:tc>
      </w:tr>
      <w:tr w:rsidR="00526499" w:rsidRPr="00B3118E" w14:paraId="59D5E519" w14:textId="77777777" w:rsidTr="00546F59">
        <w:tc>
          <w:tcPr>
            <w:tcW w:w="1980" w:type="dxa"/>
          </w:tcPr>
          <w:p w14:paraId="536814A3" w14:textId="5AECA31B" w:rsidR="00337503" w:rsidRPr="00B3118E" w:rsidRDefault="00337503" w:rsidP="00FD7302">
            <w:pPr>
              <w:spacing w:before="60" w:after="60" w:line="252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B3118E">
              <w:rPr>
                <w:rFonts w:cs="Calibri"/>
                <w:b/>
                <w:bCs/>
                <w:sz w:val="24"/>
                <w:szCs w:val="24"/>
              </w:rPr>
              <w:t xml:space="preserve">Background and </w:t>
            </w:r>
            <w:r>
              <w:rPr>
                <w:rFonts w:cs="Calibri"/>
                <w:b/>
                <w:bCs/>
                <w:sz w:val="24"/>
                <w:szCs w:val="24"/>
              </w:rPr>
              <w:t>Rationale</w:t>
            </w:r>
          </w:p>
          <w:p w14:paraId="0AD8A1B2" w14:textId="77777777" w:rsidR="00526499" w:rsidRPr="00B3118E" w:rsidRDefault="00526499" w:rsidP="00FD7302">
            <w:pPr>
              <w:spacing w:before="60" w:after="60" w:line="252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8" w:type="dxa"/>
          </w:tcPr>
          <w:p w14:paraId="1B9EE7F2" w14:textId="2EF00D1E" w:rsidR="003169D6" w:rsidRPr="007F5AD1" w:rsidRDefault="007334AF" w:rsidP="008007E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The global urbanization </w:t>
            </w:r>
            <w:r w:rsidR="00471D67" w:rsidRPr="009127CD">
              <w:rPr>
                <w:rFonts w:asciiTheme="majorHAnsi" w:hAnsiTheme="majorHAnsi"/>
              </w:rPr>
              <w:t xml:space="preserve">trend is resulting </w:t>
            </w:r>
            <w:r>
              <w:rPr>
                <w:rFonts w:asciiTheme="majorHAnsi" w:hAnsiTheme="majorHAnsi"/>
              </w:rPr>
              <w:t xml:space="preserve">in </w:t>
            </w:r>
            <w:r w:rsidR="00471D67" w:rsidRPr="009127CD">
              <w:rPr>
                <w:rFonts w:asciiTheme="majorHAnsi" w:hAnsiTheme="majorHAnsi"/>
              </w:rPr>
              <w:t>a</w:t>
            </w:r>
            <w:r w:rsidR="00EB2E8B">
              <w:rPr>
                <w:rFonts w:asciiTheme="majorHAnsi" w:hAnsiTheme="majorHAnsi"/>
              </w:rPr>
              <w:t xml:space="preserve"> sharp</w:t>
            </w:r>
            <w:r w:rsidR="00471D67" w:rsidRPr="009127CD">
              <w:rPr>
                <w:rFonts w:asciiTheme="majorHAnsi" w:hAnsiTheme="majorHAnsi"/>
              </w:rPr>
              <w:t xml:space="preserve"> increas</w:t>
            </w:r>
            <w:r w:rsidR="00EB2E8B">
              <w:rPr>
                <w:rFonts w:asciiTheme="majorHAnsi" w:hAnsiTheme="majorHAnsi"/>
              </w:rPr>
              <w:t>e</w:t>
            </w:r>
            <w:r w:rsidR="00471D67" w:rsidRPr="009127CD">
              <w:rPr>
                <w:rFonts w:asciiTheme="majorHAnsi" w:hAnsiTheme="majorHAnsi"/>
              </w:rPr>
              <w:t xml:space="preserve"> of capital investment</w:t>
            </w:r>
            <w:r w:rsidR="00EB2E8B">
              <w:rPr>
                <w:rFonts w:asciiTheme="majorHAnsi" w:hAnsiTheme="majorHAnsi"/>
              </w:rPr>
              <w:t>s</w:t>
            </w:r>
            <w:r w:rsidR="00471D67" w:rsidRPr="009127CD">
              <w:rPr>
                <w:rFonts w:asciiTheme="majorHAnsi" w:hAnsiTheme="majorHAnsi"/>
              </w:rPr>
              <w:t xml:space="preserve"> in </w:t>
            </w:r>
            <w:r w:rsidR="00D56599">
              <w:rPr>
                <w:rFonts w:asciiTheme="majorHAnsi" w:hAnsiTheme="majorHAnsi"/>
              </w:rPr>
              <w:t>urban areas</w:t>
            </w:r>
            <w:r w:rsidR="008007E1">
              <w:rPr>
                <w:rFonts w:asciiTheme="majorHAnsi" w:hAnsiTheme="majorHAnsi"/>
              </w:rPr>
              <w:t>, many of which</w:t>
            </w:r>
            <w:r w:rsidR="00B56327">
              <w:rPr>
                <w:rFonts w:asciiTheme="majorHAnsi" w:hAnsiTheme="majorHAnsi"/>
              </w:rPr>
              <w:t xml:space="preserve"> are exposed to various natural and man-made hazards</w:t>
            </w:r>
            <w:r w:rsidR="00D56599">
              <w:rPr>
                <w:rFonts w:asciiTheme="majorHAnsi" w:hAnsiTheme="majorHAnsi"/>
              </w:rPr>
              <w:t xml:space="preserve"> and concentrat</w:t>
            </w:r>
            <w:r w:rsidR="008007E1">
              <w:rPr>
                <w:rFonts w:asciiTheme="majorHAnsi" w:hAnsiTheme="majorHAnsi"/>
              </w:rPr>
              <w:t>e</w:t>
            </w:r>
            <w:r w:rsidR="00D56599">
              <w:rPr>
                <w:rFonts w:asciiTheme="majorHAnsi" w:hAnsiTheme="majorHAnsi"/>
              </w:rPr>
              <w:t xml:space="preserve"> </w:t>
            </w:r>
            <w:r w:rsidR="008007E1">
              <w:rPr>
                <w:rFonts w:asciiTheme="majorHAnsi" w:hAnsiTheme="majorHAnsi"/>
              </w:rPr>
              <w:t xml:space="preserve">marginalized </w:t>
            </w:r>
            <w:r w:rsidR="00D56599">
              <w:rPr>
                <w:rFonts w:asciiTheme="majorHAnsi" w:hAnsiTheme="majorHAnsi"/>
              </w:rPr>
              <w:t>population living in highly vulnerable conditions</w:t>
            </w:r>
            <w:r w:rsidR="00B56327">
              <w:rPr>
                <w:rFonts w:asciiTheme="majorHAnsi" w:hAnsiTheme="majorHAnsi"/>
              </w:rPr>
              <w:t xml:space="preserve">. </w:t>
            </w:r>
            <w:r w:rsidR="00D56599">
              <w:rPr>
                <w:rFonts w:asciiTheme="majorHAnsi" w:hAnsiTheme="majorHAnsi"/>
              </w:rPr>
              <w:t>It is estimated that in the next 30 years,</w:t>
            </w:r>
            <w:r w:rsidR="00EB2E8B">
              <w:rPr>
                <w:rFonts w:asciiTheme="majorHAnsi" w:hAnsiTheme="majorHAnsi"/>
              </w:rPr>
              <w:t xml:space="preserve"> trillions of dollars </w:t>
            </w:r>
            <w:r w:rsidR="00D56599">
              <w:rPr>
                <w:rFonts w:asciiTheme="majorHAnsi" w:hAnsiTheme="majorHAnsi"/>
              </w:rPr>
              <w:t xml:space="preserve">in </w:t>
            </w:r>
            <w:r w:rsidR="00EB2E8B">
              <w:rPr>
                <w:rFonts w:asciiTheme="majorHAnsi" w:hAnsiTheme="majorHAnsi"/>
              </w:rPr>
              <w:t xml:space="preserve">investments </w:t>
            </w:r>
            <w:r w:rsidR="00D56599">
              <w:rPr>
                <w:rFonts w:asciiTheme="majorHAnsi" w:hAnsiTheme="majorHAnsi"/>
              </w:rPr>
              <w:t xml:space="preserve">will be </w:t>
            </w:r>
            <w:r w:rsidR="00EB2E8B">
              <w:rPr>
                <w:rFonts w:asciiTheme="majorHAnsi" w:hAnsiTheme="majorHAnsi"/>
              </w:rPr>
              <w:t xml:space="preserve">made across </w:t>
            </w:r>
            <w:r w:rsidR="00D56599">
              <w:rPr>
                <w:rFonts w:asciiTheme="majorHAnsi" w:hAnsiTheme="majorHAnsi"/>
              </w:rPr>
              <w:t xml:space="preserve">all </w:t>
            </w:r>
            <w:r w:rsidR="00EB2E8B">
              <w:rPr>
                <w:rFonts w:asciiTheme="majorHAnsi" w:hAnsiTheme="majorHAnsi"/>
              </w:rPr>
              <w:t>sectors and geographies</w:t>
            </w:r>
            <w:r w:rsidR="00D56599">
              <w:rPr>
                <w:rFonts w:asciiTheme="majorHAnsi" w:hAnsiTheme="majorHAnsi"/>
              </w:rPr>
              <w:t xml:space="preserve"> hence</w:t>
            </w:r>
            <w:r w:rsidR="00EB2E8B">
              <w:rPr>
                <w:rFonts w:asciiTheme="majorHAnsi" w:hAnsiTheme="majorHAnsi"/>
              </w:rPr>
              <w:t xml:space="preserve"> there is a clear and urgent need to ensure that those investments, both private and public, are risk-informed and that the related natural or man-made hazards and climate risks are considered ahead of short term political or economic gains</w:t>
            </w:r>
            <w:r w:rsidR="00471D67">
              <w:rPr>
                <w:rFonts w:asciiTheme="majorHAnsi" w:hAnsiTheme="majorHAnsi"/>
              </w:rPr>
              <w:t xml:space="preserve">. </w:t>
            </w:r>
            <w:r w:rsidR="00EB2E8B">
              <w:rPr>
                <w:rFonts w:asciiTheme="majorHAnsi" w:hAnsiTheme="majorHAnsi"/>
              </w:rPr>
              <w:t>Failing to do so, will result in the</w:t>
            </w:r>
            <w:r w:rsidR="00063B1C">
              <w:rPr>
                <w:rFonts w:asciiTheme="majorHAnsi" w:hAnsiTheme="majorHAnsi"/>
              </w:rPr>
              <w:t xml:space="preserve"> creat</w:t>
            </w:r>
            <w:r w:rsidR="00EB2E8B">
              <w:rPr>
                <w:rFonts w:asciiTheme="majorHAnsi" w:hAnsiTheme="majorHAnsi"/>
              </w:rPr>
              <w:t>ion or</w:t>
            </w:r>
            <w:r w:rsidR="00063B1C">
              <w:rPr>
                <w:rFonts w:asciiTheme="majorHAnsi" w:hAnsiTheme="majorHAnsi"/>
              </w:rPr>
              <w:t xml:space="preserve"> amplif</w:t>
            </w:r>
            <w:r w:rsidR="00EB2E8B">
              <w:rPr>
                <w:rFonts w:asciiTheme="majorHAnsi" w:hAnsiTheme="majorHAnsi"/>
              </w:rPr>
              <w:t>ication of</w:t>
            </w:r>
            <w:r w:rsidR="00063B1C">
              <w:rPr>
                <w:rFonts w:asciiTheme="majorHAnsi" w:hAnsiTheme="majorHAnsi"/>
              </w:rPr>
              <w:t xml:space="preserve"> </w:t>
            </w:r>
            <w:r w:rsidR="001E23E5">
              <w:rPr>
                <w:rFonts w:asciiTheme="majorHAnsi" w:hAnsiTheme="majorHAnsi"/>
              </w:rPr>
              <w:t xml:space="preserve">future </w:t>
            </w:r>
            <w:r w:rsidR="00063B1C">
              <w:rPr>
                <w:rFonts w:asciiTheme="majorHAnsi" w:hAnsiTheme="majorHAnsi"/>
              </w:rPr>
              <w:t>r</w:t>
            </w:r>
            <w:r w:rsidR="000D7DFE">
              <w:rPr>
                <w:rFonts w:asciiTheme="majorHAnsi" w:hAnsiTheme="majorHAnsi"/>
              </w:rPr>
              <w:t>isk</w:t>
            </w:r>
            <w:r w:rsidR="00900786">
              <w:rPr>
                <w:rFonts w:asciiTheme="majorHAnsi" w:hAnsiTheme="majorHAnsi"/>
              </w:rPr>
              <w:t>s</w:t>
            </w:r>
            <w:r w:rsidR="00EB2E8B">
              <w:rPr>
                <w:rFonts w:asciiTheme="majorHAnsi" w:hAnsiTheme="majorHAnsi"/>
              </w:rPr>
              <w:t xml:space="preserve"> and losses</w:t>
            </w:r>
            <w:r w:rsidR="00900786">
              <w:rPr>
                <w:rFonts w:asciiTheme="majorHAnsi" w:hAnsiTheme="majorHAnsi"/>
              </w:rPr>
              <w:t>.</w:t>
            </w:r>
          </w:p>
          <w:p w14:paraId="3C21B6D5" w14:textId="61A28E78" w:rsidR="00C81FF5" w:rsidRDefault="00F56369" w:rsidP="008007E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The incremental investment to make facilities and infrastructure resilient </w:t>
            </w:r>
            <w:r w:rsidR="008007E1">
              <w:rPr>
                <w:rFonts w:asciiTheme="majorHAnsi" w:hAnsiTheme="majorHAnsi"/>
              </w:rPr>
              <w:t xml:space="preserve">and the use of risk reduction </w:t>
            </w:r>
            <w:r>
              <w:rPr>
                <w:rFonts w:asciiTheme="majorHAnsi" w:hAnsiTheme="majorHAnsi"/>
              </w:rPr>
              <w:t xml:space="preserve">principles and metrics </w:t>
            </w:r>
            <w:r w:rsidR="008007E1">
              <w:rPr>
                <w:rFonts w:asciiTheme="majorHAnsi" w:hAnsiTheme="majorHAnsi"/>
              </w:rPr>
              <w:t>for</w:t>
            </w:r>
            <w:r w:rsidR="00C81FF5">
              <w:rPr>
                <w:rFonts w:asciiTheme="majorHAnsi" w:hAnsiTheme="majorHAnsi"/>
              </w:rPr>
              <w:t xml:space="preserve"> all investment classes </w:t>
            </w:r>
            <w:r w:rsidR="008007E1">
              <w:rPr>
                <w:rFonts w:asciiTheme="majorHAnsi" w:hAnsiTheme="majorHAnsi"/>
              </w:rPr>
              <w:t>to avoid the creation of new risk</w:t>
            </w:r>
            <w:r>
              <w:rPr>
                <w:rFonts w:asciiTheme="majorHAnsi" w:hAnsiTheme="majorHAnsi"/>
              </w:rPr>
              <w:t xml:space="preserve">, is small considering the benefits </w:t>
            </w:r>
            <w:r w:rsidR="008007E1">
              <w:rPr>
                <w:rFonts w:asciiTheme="majorHAnsi" w:hAnsiTheme="majorHAnsi"/>
              </w:rPr>
              <w:t>this</w:t>
            </w:r>
            <w:r w:rsidR="00EB2E8B">
              <w:rPr>
                <w:rFonts w:asciiTheme="majorHAnsi" w:hAnsiTheme="majorHAnsi"/>
              </w:rPr>
              <w:t xml:space="preserve"> can generate</w:t>
            </w:r>
            <w:r>
              <w:rPr>
                <w:rFonts w:asciiTheme="majorHAnsi" w:hAnsiTheme="majorHAnsi"/>
              </w:rPr>
              <w:t>.</w:t>
            </w:r>
            <w:r w:rsidR="00A47FFC">
              <w:rPr>
                <w:rFonts w:asciiTheme="majorHAnsi" w:hAnsiTheme="majorHAnsi"/>
              </w:rPr>
              <w:t xml:space="preserve"> </w:t>
            </w:r>
          </w:p>
          <w:p w14:paraId="5246A530" w14:textId="2887075D" w:rsidR="00C37719" w:rsidRDefault="00A47FFC" w:rsidP="005F70F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Influencing investment decisions that </w:t>
            </w:r>
            <w:r w:rsidR="00F56369">
              <w:rPr>
                <w:rFonts w:asciiTheme="majorHAnsi" w:hAnsiTheme="majorHAnsi"/>
              </w:rPr>
              <w:t xml:space="preserve">too often favour short term </w:t>
            </w:r>
            <w:r w:rsidR="00224A46">
              <w:rPr>
                <w:rFonts w:asciiTheme="majorHAnsi" w:hAnsiTheme="majorHAnsi"/>
              </w:rPr>
              <w:t xml:space="preserve">risk-blind </w:t>
            </w:r>
            <w:r w:rsidR="00F56369">
              <w:rPr>
                <w:rFonts w:asciiTheme="majorHAnsi" w:hAnsiTheme="majorHAnsi"/>
              </w:rPr>
              <w:t>gain</w:t>
            </w:r>
            <w:r w:rsidR="00152B16">
              <w:rPr>
                <w:rFonts w:asciiTheme="majorHAnsi" w:hAnsiTheme="majorHAnsi"/>
              </w:rPr>
              <w:t>s</w:t>
            </w:r>
            <w:r w:rsidR="00283300">
              <w:rPr>
                <w:rFonts w:asciiTheme="majorHAnsi" w:hAnsiTheme="majorHAnsi"/>
              </w:rPr>
              <w:t xml:space="preserve"> towards</w:t>
            </w:r>
            <w:r w:rsidR="00F56369">
              <w:rPr>
                <w:rFonts w:asciiTheme="majorHAnsi" w:hAnsiTheme="majorHAnsi"/>
              </w:rPr>
              <w:t xml:space="preserve"> </w:t>
            </w:r>
            <w:r w:rsidR="00224A46">
              <w:rPr>
                <w:rFonts w:asciiTheme="majorHAnsi" w:hAnsiTheme="majorHAnsi"/>
              </w:rPr>
              <w:t xml:space="preserve">more </w:t>
            </w:r>
            <w:r w:rsidR="00F56369">
              <w:rPr>
                <w:rFonts w:asciiTheme="majorHAnsi" w:hAnsiTheme="majorHAnsi"/>
              </w:rPr>
              <w:t>risk informed investment</w:t>
            </w:r>
            <w:r w:rsidR="00224A46">
              <w:rPr>
                <w:rFonts w:asciiTheme="majorHAnsi" w:hAnsiTheme="majorHAnsi"/>
              </w:rPr>
              <w:t>,</w:t>
            </w:r>
            <w:r w:rsidR="00F5636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will only be possible through access and use </w:t>
            </w:r>
            <w:r w:rsidR="005F70F8">
              <w:rPr>
                <w:rFonts w:asciiTheme="majorHAnsi" w:hAnsiTheme="majorHAnsi"/>
              </w:rPr>
              <w:t xml:space="preserve">of </w:t>
            </w:r>
            <w:r w:rsidR="00C37719">
              <w:rPr>
                <w:rFonts w:asciiTheme="majorHAnsi" w:hAnsiTheme="majorHAnsi"/>
              </w:rPr>
              <w:t xml:space="preserve">effective </w:t>
            </w:r>
            <w:r w:rsidR="00A82469">
              <w:rPr>
                <w:rFonts w:asciiTheme="majorHAnsi" w:hAnsiTheme="majorHAnsi"/>
              </w:rPr>
              <w:t xml:space="preserve">risk </w:t>
            </w:r>
            <w:r w:rsidR="00C37719">
              <w:rPr>
                <w:rFonts w:asciiTheme="majorHAnsi" w:hAnsiTheme="majorHAnsi"/>
              </w:rPr>
              <w:t>identification</w:t>
            </w:r>
            <w:r w:rsidR="005A1BEC">
              <w:rPr>
                <w:rFonts w:asciiTheme="majorHAnsi" w:hAnsiTheme="majorHAnsi"/>
              </w:rPr>
              <w:t xml:space="preserve"> and</w:t>
            </w:r>
            <w:r w:rsidR="00A82469">
              <w:rPr>
                <w:rFonts w:asciiTheme="majorHAnsi" w:hAnsiTheme="majorHAnsi"/>
              </w:rPr>
              <w:t xml:space="preserve"> quan</w:t>
            </w:r>
            <w:r w:rsidR="00677CAE">
              <w:rPr>
                <w:rFonts w:asciiTheme="majorHAnsi" w:hAnsiTheme="majorHAnsi"/>
              </w:rPr>
              <w:t>ti</w:t>
            </w:r>
            <w:r w:rsidR="00A82469">
              <w:rPr>
                <w:rFonts w:asciiTheme="majorHAnsi" w:hAnsiTheme="majorHAnsi"/>
              </w:rPr>
              <w:t>fication</w:t>
            </w:r>
            <w:r w:rsidR="00C37719">
              <w:rPr>
                <w:rFonts w:asciiTheme="majorHAnsi" w:hAnsiTheme="majorHAnsi"/>
              </w:rPr>
              <w:t xml:space="preserve"> and pricing of risk</w:t>
            </w:r>
            <w:r w:rsidR="00063BC3" w:rsidRPr="0085647D">
              <w:rPr>
                <w:sz w:val="16"/>
                <w:szCs w:val="16"/>
              </w:rPr>
              <w:footnoteReference w:id="1"/>
            </w:r>
            <w:r w:rsidR="00C37719" w:rsidRPr="0085647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152B16">
              <w:rPr>
                <w:rFonts w:asciiTheme="majorHAnsi" w:hAnsiTheme="majorHAnsi"/>
              </w:rPr>
              <w:t xml:space="preserve">across all investment classes. </w:t>
            </w:r>
          </w:p>
          <w:p w14:paraId="39824AF9" w14:textId="1982DB3D" w:rsidR="00283300" w:rsidRDefault="00F74FD7" w:rsidP="0096568D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Equally important is the need to target public and private investments to mitigate and/or reduce the level of risk of existing assets. This includes both risk of loss of life or </w:t>
            </w:r>
            <w:r>
              <w:rPr>
                <w:rFonts w:asciiTheme="majorHAnsi" w:hAnsiTheme="majorHAnsi"/>
              </w:rPr>
              <w:lastRenderedPageBreak/>
              <w:t>injury and asset destruction. Changing climate conditions have elevated risks where substantial costs will be incurred to respond and recover if investment is not made to retrofit these assets</w:t>
            </w:r>
            <w:r w:rsidR="005F70F8">
              <w:rPr>
                <w:rFonts w:asciiTheme="majorHAnsi" w:hAnsiTheme="majorHAnsi"/>
              </w:rPr>
              <w:t xml:space="preserve"> </w:t>
            </w:r>
            <w:r w:rsidR="0096568D">
              <w:rPr>
                <w:rFonts w:asciiTheme="majorHAnsi" w:hAnsiTheme="majorHAnsi"/>
              </w:rPr>
              <w:t>increasing its</w:t>
            </w:r>
            <w:r w:rsidR="005F70F8">
              <w:rPr>
                <w:rFonts w:asciiTheme="majorHAnsi" w:hAnsiTheme="majorHAnsi"/>
              </w:rPr>
              <w:t xml:space="preserve"> robust</w:t>
            </w:r>
            <w:r w:rsidR="0096568D">
              <w:rPr>
                <w:rFonts w:asciiTheme="majorHAnsi" w:hAnsiTheme="majorHAnsi"/>
              </w:rPr>
              <w:t>ness and durability</w:t>
            </w:r>
            <w:r>
              <w:rPr>
                <w:rFonts w:asciiTheme="majorHAnsi" w:hAnsiTheme="majorHAnsi"/>
              </w:rPr>
              <w:t xml:space="preserve">. </w:t>
            </w:r>
            <w:r w:rsidR="00283300">
              <w:rPr>
                <w:rFonts w:asciiTheme="majorHAnsi" w:hAnsiTheme="majorHAnsi"/>
              </w:rPr>
              <w:t xml:space="preserve">Examples of recent years show </w:t>
            </w:r>
            <w:r w:rsidR="003E665C">
              <w:rPr>
                <w:rFonts w:asciiTheme="majorHAnsi" w:hAnsiTheme="majorHAnsi"/>
              </w:rPr>
              <w:t>how r</w:t>
            </w:r>
            <w:r>
              <w:rPr>
                <w:rFonts w:asciiTheme="majorHAnsi" w:hAnsiTheme="majorHAnsi"/>
              </w:rPr>
              <w:t xml:space="preserve">epeated disaster events </w:t>
            </w:r>
            <w:r w:rsidR="003E665C">
              <w:rPr>
                <w:rFonts w:asciiTheme="majorHAnsi" w:hAnsiTheme="majorHAnsi"/>
              </w:rPr>
              <w:t>are now</w:t>
            </w:r>
            <w:r>
              <w:rPr>
                <w:rFonts w:asciiTheme="majorHAnsi" w:hAnsiTheme="majorHAnsi"/>
              </w:rPr>
              <w:t xml:space="preserve"> lead</w:t>
            </w:r>
            <w:r w:rsidR="003E665C">
              <w:rPr>
                <w:rFonts w:asciiTheme="majorHAnsi" w:hAnsiTheme="majorHAnsi"/>
              </w:rPr>
              <w:t>ing</w:t>
            </w:r>
            <w:r>
              <w:rPr>
                <w:rFonts w:asciiTheme="majorHAnsi" w:hAnsiTheme="majorHAnsi"/>
              </w:rPr>
              <w:t xml:space="preserve"> some </w:t>
            </w:r>
            <w:r w:rsidR="003E665C">
              <w:rPr>
                <w:rFonts w:asciiTheme="majorHAnsi" w:hAnsiTheme="majorHAnsi"/>
              </w:rPr>
              <w:t xml:space="preserve">countries, </w:t>
            </w:r>
            <w:r>
              <w:rPr>
                <w:rFonts w:asciiTheme="majorHAnsi" w:hAnsiTheme="majorHAnsi"/>
              </w:rPr>
              <w:t>communities and companies to make pro-active decisions to spend money to improve resilience</w:t>
            </w:r>
            <w:r w:rsidR="003E665C">
              <w:rPr>
                <w:rFonts w:asciiTheme="majorHAnsi" w:hAnsiTheme="majorHAnsi"/>
              </w:rPr>
              <w:t xml:space="preserve">, </w:t>
            </w:r>
            <w:r w:rsidR="00224A46">
              <w:rPr>
                <w:rFonts w:asciiTheme="majorHAnsi" w:hAnsiTheme="majorHAnsi"/>
              </w:rPr>
              <w:t>highlighting the</w:t>
            </w:r>
            <w:r w:rsidR="003E665C">
              <w:rPr>
                <w:rFonts w:asciiTheme="majorHAnsi" w:hAnsiTheme="majorHAnsi"/>
              </w:rPr>
              <w:t xml:space="preserve"> importance of planed decision making on resilient standards and political will for its implementation before disasters strike</w:t>
            </w:r>
            <w:r w:rsidR="003E665C" w:rsidRPr="00546F59">
              <w:rPr>
                <w:rFonts w:asciiTheme="majorHAnsi" w:hAnsiTheme="majorHAnsi"/>
              </w:rPr>
              <w:t>. </w:t>
            </w:r>
          </w:p>
          <w:p w14:paraId="795C753B" w14:textId="77777777" w:rsidR="00283300" w:rsidRDefault="00283300" w:rsidP="00C81FF5">
            <w:pPr>
              <w:spacing w:after="0"/>
              <w:jc w:val="both"/>
              <w:rPr>
                <w:rFonts w:asciiTheme="majorHAnsi" w:hAnsiTheme="majorHAnsi"/>
              </w:rPr>
            </w:pPr>
          </w:p>
          <w:p w14:paraId="6037DAE8" w14:textId="5682F777" w:rsidR="00337503" w:rsidRPr="008328A9" w:rsidRDefault="00283300" w:rsidP="00C81FF5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both private and public investments are not risk-</w:t>
            </w:r>
            <w:proofErr w:type="gramStart"/>
            <w:r>
              <w:rPr>
                <w:rFonts w:asciiTheme="majorHAnsi" w:hAnsiTheme="majorHAnsi"/>
              </w:rPr>
              <w:t>informed</w:t>
            </w:r>
            <w:proofErr w:type="gramEnd"/>
            <w:r>
              <w:rPr>
                <w:rFonts w:asciiTheme="majorHAnsi" w:hAnsiTheme="majorHAnsi"/>
              </w:rPr>
              <w:t xml:space="preserve"> the aspirations enshrined in inter alia the 2030 Agenda for Sustainable Development for durable, resilient solutions will not be realised.  Particularly, when considering achievement toward SDG’s 8 and 10, which focus on ensuring sustainable economic growth and reducing inequality, there is a clear need and opportunity to take advantage of the multiple dividends generated from risk informed investment. </w:t>
            </w:r>
          </w:p>
        </w:tc>
      </w:tr>
      <w:tr w:rsidR="00526499" w:rsidRPr="00B3118E" w14:paraId="3AF73D0E" w14:textId="77777777" w:rsidTr="00546F59">
        <w:tc>
          <w:tcPr>
            <w:tcW w:w="1980" w:type="dxa"/>
          </w:tcPr>
          <w:p w14:paraId="47BA27F7" w14:textId="77777777" w:rsidR="00337503" w:rsidRDefault="00337503" w:rsidP="00337503">
            <w:pPr>
              <w:spacing w:before="60" w:after="60" w:line="252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B3118E">
              <w:rPr>
                <w:rFonts w:cs="Calibri"/>
                <w:b/>
                <w:bCs/>
                <w:sz w:val="24"/>
                <w:szCs w:val="24"/>
              </w:rPr>
              <w:lastRenderedPageBreak/>
              <w:t>Session objectives</w:t>
            </w:r>
          </w:p>
          <w:p w14:paraId="7DC2E2B8" w14:textId="13CBF704" w:rsidR="00526499" w:rsidRPr="00B3118E" w:rsidRDefault="00526499" w:rsidP="00337503">
            <w:pPr>
              <w:spacing w:before="60" w:after="60" w:line="252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8" w:type="dxa"/>
          </w:tcPr>
          <w:p w14:paraId="3BCDDD0A" w14:textId="67F8F24F" w:rsidR="00337503" w:rsidRDefault="00337503" w:rsidP="00337503">
            <w:pPr>
              <w:spacing w:before="60" w:after="60" w:line="252" w:lineRule="auto"/>
              <w:rPr>
                <w:rFonts w:asciiTheme="majorHAnsi" w:hAnsiTheme="majorHAnsi"/>
              </w:rPr>
            </w:pPr>
            <w:r w:rsidRPr="00431AF7">
              <w:rPr>
                <w:rFonts w:asciiTheme="majorHAnsi" w:hAnsiTheme="majorHAnsi"/>
              </w:rPr>
              <w:t>What does this session aim to accomplish?   (2 to 3 bullets)</w:t>
            </w:r>
          </w:p>
          <w:p w14:paraId="5474A8C6" w14:textId="61BF3715" w:rsidR="008215B0" w:rsidRDefault="008215B0" w:rsidP="00337503">
            <w:pPr>
              <w:spacing w:before="60" w:after="60" w:line="252" w:lineRule="auto"/>
              <w:rPr>
                <w:rFonts w:asciiTheme="majorHAnsi" w:hAnsiTheme="majorHAnsi"/>
              </w:rPr>
            </w:pPr>
          </w:p>
          <w:p w14:paraId="582898E5" w14:textId="7C571C1B" w:rsidR="00900786" w:rsidRDefault="008215B0" w:rsidP="007334AF">
            <w:pPr>
              <w:jc w:val="both"/>
              <w:rPr>
                <w:rFonts w:asciiTheme="majorHAnsi" w:hAnsiTheme="majorHAnsi"/>
              </w:rPr>
            </w:pPr>
            <w:r w:rsidRPr="0039159B">
              <w:rPr>
                <w:rFonts w:asciiTheme="majorHAnsi" w:hAnsiTheme="majorHAnsi" w:cstheme="majorHAnsi"/>
              </w:rPr>
              <w:t xml:space="preserve">The </w:t>
            </w:r>
            <w:r w:rsidR="00224A46" w:rsidRPr="0039159B">
              <w:rPr>
                <w:rFonts w:asciiTheme="majorHAnsi" w:hAnsiTheme="majorHAnsi" w:cstheme="majorHAnsi"/>
              </w:rPr>
              <w:t>High-Level</w:t>
            </w:r>
            <w:r w:rsidRPr="0039159B">
              <w:rPr>
                <w:rFonts w:asciiTheme="majorHAnsi" w:hAnsiTheme="majorHAnsi" w:cstheme="majorHAnsi"/>
              </w:rPr>
              <w:t xml:space="preserve"> Dialogue "Risk</w:t>
            </w:r>
            <w:r>
              <w:rPr>
                <w:rFonts w:asciiTheme="majorHAnsi" w:hAnsiTheme="majorHAnsi" w:cstheme="majorHAnsi"/>
              </w:rPr>
              <w:t>-i</w:t>
            </w:r>
            <w:r w:rsidRPr="0039159B">
              <w:rPr>
                <w:rFonts w:asciiTheme="majorHAnsi" w:hAnsiTheme="majorHAnsi" w:cstheme="majorHAnsi"/>
              </w:rPr>
              <w:t>nformed Public and Private Investment” aims to highlight the opportunities t</w:t>
            </w:r>
            <w:r>
              <w:rPr>
                <w:rFonts w:asciiTheme="majorHAnsi" w:hAnsiTheme="majorHAnsi" w:cstheme="majorHAnsi"/>
              </w:rPr>
              <w:t xml:space="preserve">hat have been </w:t>
            </w:r>
            <w:r w:rsidR="007334AF">
              <w:rPr>
                <w:rFonts w:asciiTheme="majorHAnsi" w:hAnsiTheme="majorHAnsi" w:cstheme="majorHAnsi"/>
              </w:rPr>
              <w:t>identified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9159B">
              <w:rPr>
                <w:rFonts w:asciiTheme="majorHAnsi" w:hAnsiTheme="majorHAnsi" w:cstheme="majorHAnsi"/>
              </w:rPr>
              <w:t xml:space="preserve">to link the processes of disaster risk management </w:t>
            </w:r>
            <w:r w:rsidR="00063BC3">
              <w:rPr>
                <w:rFonts w:asciiTheme="majorHAnsi" w:hAnsiTheme="majorHAnsi" w:cstheme="majorHAnsi"/>
              </w:rPr>
              <w:t xml:space="preserve">both </w:t>
            </w:r>
            <w:r w:rsidRPr="0039159B">
              <w:rPr>
                <w:rFonts w:asciiTheme="majorHAnsi" w:hAnsiTheme="majorHAnsi" w:cstheme="majorHAnsi"/>
              </w:rPr>
              <w:t>in public and private investment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="00900786">
              <w:rPr>
                <w:rFonts w:asciiTheme="majorHAnsi" w:hAnsiTheme="majorHAnsi"/>
              </w:rPr>
              <w:t xml:space="preserve">This session will </w:t>
            </w:r>
            <w:r w:rsidR="007334AF">
              <w:rPr>
                <w:rFonts w:asciiTheme="majorHAnsi" w:hAnsiTheme="majorHAnsi"/>
              </w:rPr>
              <w:t xml:space="preserve">provide </w:t>
            </w:r>
            <w:r w:rsidR="003C0531">
              <w:rPr>
                <w:rFonts w:asciiTheme="majorHAnsi" w:hAnsiTheme="majorHAnsi"/>
              </w:rPr>
              <w:t xml:space="preserve">the </w:t>
            </w:r>
            <w:r w:rsidR="00900786">
              <w:rPr>
                <w:rFonts w:asciiTheme="majorHAnsi" w:hAnsiTheme="majorHAnsi"/>
              </w:rPr>
              <w:t xml:space="preserve">opportunity for </w:t>
            </w:r>
            <w:r w:rsidR="007F1008">
              <w:rPr>
                <w:rFonts w:asciiTheme="majorHAnsi" w:hAnsiTheme="majorHAnsi"/>
              </w:rPr>
              <w:t>participants</w:t>
            </w:r>
            <w:r w:rsidR="00071BC3">
              <w:rPr>
                <w:rFonts w:asciiTheme="majorHAnsi" w:hAnsiTheme="majorHAnsi"/>
              </w:rPr>
              <w:t xml:space="preserve"> to showcase </w:t>
            </w:r>
            <w:r w:rsidR="00900786">
              <w:rPr>
                <w:rFonts w:asciiTheme="majorHAnsi" w:hAnsiTheme="majorHAnsi"/>
              </w:rPr>
              <w:t>approaches, review progress that has been made, and offer</w:t>
            </w:r>
            <w:r w:rsidR="00DA46A4">
              <w:rPr>
                <w:rFonts w:asciiTheme="majorHAnsi" w:hAnsiTheme="majorHAnsi"/>
              </w:rPr>
              <w:t xml:space="preserve"> good practices and</w:t>
            </w:r>
            <w:r w:rsidR="00900786">
              <w:rPr>
                <w:rFonts w:asciiTheme="majorHAnsi" w:hAnsiTheme="majorHAnsi"/>
              </w:rPr>
              <w:t xml:space="preserve"> solutions that ensure investment takes clear considerations of present and future risk</w:t>
            </w:r>
            <w:r w:rsidR="007334AF">
              <w:rPr>
                <w:rFonts w:asciiTheme="majorHAnsi" w:hAnsiTheme="majorHAnsi"/>
              </w:rPr>
              <w:t>s</w:t>
            </w:r>
            <w:r w:rsidR="00900786">
              <w:rPr>
                <w:rFonts w:asciiTheme="majorHAnsi" w:hAnsiTheme="majorHAnsi"/>
              </w:rPr>
              <w:t>.</w:t>
            </w:r>
          </w:p>
          <w:p w14:paraId="04B81A8D" w14:textId="553D34FA" w:rsidR="008215B0" w:rsidRDefault="008215B0" w:rsidP="007F5AD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For this </w:t>
            </w:r>
            <w:r w:rsidR="007334AF">
              <w:rPr>
                <w:rFonts w:asciiTheme="majorHAnsi" w:hAnsiTheme="majorHAnsi" w:cstheme="majorHAnsi"/>
              </w:rPr>
              <w:t>purpose,</w:t>
            </w:r>
            <w:r>
              <w:rPr>
                <w:rFonts w:asciiTheme="majorHAnsi" w:hAnsiTheme="majorHAnsi" w:cstheme="majorHAnsi"/>
              </w:rPr>
              <w:t xml:space="preserve"> the session will aim </w:t>
            </w:r>
            <w:r w:rsidR="007334AF">
              <w:rPr>
                <w:rFonts w:asciiTheme="majorHAnsi" w:hAnsiTheme="majorHAnsi" w:cstheme="majorHAnsi"/>
              </w:rPr>
              <w:t>to: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492253CE" w14:textId="695F7AAA" w:rsidR="00B21223" w:rsidRDefault="00DA46A4" w:rsidP="00E6792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Showcase </w:t>
            </w:r>
            <w:r w:rsidR="00B21223" w:rsidRPr="00B21223">
              <w:rPr>
                <w:rFonts w:asciiTheme="majorHAnsi" w:hAnsiTheme="majorHAnsi" w:cstheme="majorHAnsi"/>
              </w:rPr>
              <w:t>success</w:t>
            </w:r>
            <w:r w:rsidR="007334AF">
              <w:rPr>
                <w:rFonts w:asciiTheme="majorHAnsi" w:hAnsiTheme="majorHAnsi" w:cstheme="majorHAnsi"/>
              </w:rPr>
              <w:t xml:space="preserve">ful approaches </w:t>
            </w:r>
            <w:r w:rsidR="00E67927">
              <w:rPr>
                <w:rFonts w:asciiTheme="majorHAnsi" w:hAnsiTheme="majorHAnsi" w:cstheme="majorHAnsi"/>
              </w:rPr>
              <w:t xml:space="preserve">in </w:t>
            </w:r>
            <w:r w:rsidR="007334AF">
              <w:rPr>
                <w:rFonts w:asciiTheme="majorHAnsi" w:hAnsiTheme="majorHAnsi" w:cstheme="majorHAnsi"/>
              </w:rPr>
              <w:t>integrating</w:t>
            </w:r>
            <w:r w:rsidR="00B21223" w:rsidRPr="00B21223">
              <w:rPr>
                <w:rFonts w:asciiTheme="majorHAnsi" w:hAnsiTheme="majorHAnsi" w:cstheme="majorHAnsi"/>
              </w:rPr>
              <w:t xml:space="preserve"> risk management </w:t>
            </w:r>
            <w:r w:rsidR="008007E1">
              <w:rPr>
                <w:rFonts w:asciiTheme="majorHAnsi" w:hAnsiTheme="majorHAnsi" w:cstheme="majorHAnsi"/>
              </w:rPr>
              <w:t xml:space="preserve">considerations </w:t>
            </w:r>
            <w:r w:rsidR="00B21223" w:rsidRPr="00B21223">
              <w:rPr>
                <w:rFonts w:asciiTheme="majorHAnsi" w:hAnsiTheme="majorHAnsi" w:cstheme="majorHAnsi"/>
              </w:rPr>
              <w:t>into public and private investment</w:t>
            </w:r>
            <w:r w:rsidR="00B732FB">
              <w:rPr>
                <w:rFonts w:asciiTheme="majorHAnsi" w:hAnsiTheme="majorHAnsi" w:cstheme="majorHAnsi"/>
              </w:rPr>
              <w:t xml:space="preserve"> decision</w:t>
            </w:r>
            <w:r w:rsidR="00B21223" w:rsidRPr="00B21223">
              <w:rPr>
                <w:rFonts w:asciiTheme="majorHAnsi" w:hAnsiTheme="majorHAnsi" w:cstheme="majorHAnsi"/>
              </w:rPr>
              <w:t>s</w:t>
            </w:r>
            <w:r w:rsidR="00E67927">
              <w:rPr>
                <w:rFonts w:asciiTheme="majorHAnsi" w:hAnsiTheme="majorHAnsi" w:cstheme="majorHAnsi"/>
              </w:rPr>
              <w:t>.</w:t>
            </w:r>
          </w:p>
          <w:p w14:paraId="6089F47D" w14:textId="0EF1C4B2" w:rsidR="00C11F81" w:rsidRPr="00B21223" w:rsidRDefault="00C11F81" w:rsidP="00E6792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Highlight where infrastructure decisions opted to incur incremental cost to make facilities more resilient to avoid future </w:t>
            </w:r>
            <w:r w:rsidR="00E67927">
              <w:rPr>
                <w:rFonts w:asciiTheme="majorHAnsi" w:hAnsiTheme="majorHAnsi" w:cstheme="majorHAnsi"/>
              </w:rPr>
              <w:t xml:space="preserve">human and economic </w:t>
            </w:r>
            <w:r>
              <w:rPr>
                <w:rFonts w:asciiTheme="majorHAnsi" w:hAnsiTheme="majorHAnsi" w:cstheme="majorHAnsi"/>
              </w:rPr>
              <w:t>loss</w:t>
            </w:r>
            <w:r w:rsidR="00E67927">
              <w:rPr>
                <w:rFonts w:asciiTheme="majorHAnsi" w:hAnsiTheme="majorHAnsi" w:cstheme="majorHAnsi"/>
              </w:rPr>
              <w:t>es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027B6B45" w14:textId="239A31BE" w:rsidR="00C11F81" w:rsidRDefault="00B21223" w:rsidP="00E6792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B21223">
              <w:rPr>
                <w:rFonts w:asciiTheme="majorHAnsi" w:hAnsiTheme="majorHAnsi" w:cstheme="majorHAnsi"/>
              </w:rPr>
              <w:t xml:space="preserve"> </w:t>
            </w:r>
            <w:r w:rsidR="00B732FB">
              <w:rPr>
                <w:rFonts w:asciiTheme="majorHAnsi" w:hAnsiTheme="majorHAnsi" w:cstheme="majorHAnsi"/>
              </w:rPr>
              <w:t xml:space="preserve">Illustrate real life examples of the </w:t>
            </w:r>
            <w:r w:rsidRPr="00B21223">
              <w:rPr>
                <w:rFonts w:asciiTheme="majorHAnsi" w:hAnsiTheme="majorHAnsi" w:cstheme="majorHAnsi"/>
              </w:rPr>
              <w:t>positive impacts and multiple dividends of risk informed investments</w:t>
            </w:r>
            <w:r w:rsidR="00064047">
              <w:rPr>
                <w:rFonts w:asciiTheme="majorHAnsi" w:hAnsiTheme="majorHAnsi" w:cstheme="majorHAnsi"/>
              </w:rPr>
              <w:t xml:space="preserve"> </w:t>
            </w:r>
            <w:r w:rsidR="00E67927">
              <w:rPr>
                <w:rFonts w:asciiTheme="majorHAnsi" w:hAnsiTheme="majorHAnsi" w:cstheme="majorHAnsi"/>
              </w:rPr>
              <w:t>by</w:t>
            </w:r>
            <w:r w:rsidR="00064047">
              <w:rPr>
                <w:rFonts w:asciiTheme="majorHAnsi" w:hAnsiTheme="majorHAnsi" w:cstheme="majorHAnsi"/>
              </w:rPr>
              <w:t xml:space="preserve"> </w:t>
            </w:r>
            <w:r w:rsidR="00F02613">
              <w:rPr>
                <w:rFonts w:asciiTheme="majorHAnsi" w:hAnsiTheme="majorHAnsi" w:cstheme="majorHAnsi"/>
              </w:rPr>
              <w:t>using accurate</w:t>
            </w:r>
            <w:r w:rsidR="00DC6C4B">
              <w:rPr>
                <w:rFonts w:asciiTheme="majorHAnsi" w:hAnsiTheme="majorHAnsi" w:cstheme="majorHAnsi"/>
              </w:rPr>
              <w:t>,</w:t>
            </w:r>
            <w:r w:rsidR="00F02613">
              <w:rPr>
                <w:rFonts w:asciiTheme="majorHAnsi" w:hAnsiTheme="majorHAnsi" w:cstheme="majorHAnsi"/>
              </w:rPr>
              <w:t xml:space="preserve"> up-to-date information on existing risks</w:t>
            </w:r>
            <w:r w:rsidRPr="00F02613">
              <w:rPr>
                <w:rFonts w:asciiTheme="majorHAnsi" w:hAnsiTheme="majorHAnsi" w:cstheme="majorHAnsi"/>
              </w:rPr>
              <w:t>:</w:t>
            </w:r>
            <w:r w:rsidR="00A238EF" w:rsidRPr="00F02613">
              <w:rPr>
                <w:rFonts w:asciiTheme="majorHAnsi" w:hAnsiTheme="majorHAnsi" w:cstheme="majorHAnsi"/>
              </w:rPr>
              <w:t xml:space="preserve"> share </w:t>
            </w:r>
            <w:r w:rsidR="00E81A4D" w:rsidRPr="00F02613">
              <w:rPr>
                <w:rFonts w:asciiTheme="majorHAnsi" w:hAnsiTheme="majorHAnsi" w:cstheme="majorHAnsi"/>
              </w:rPr>
              <w:t xml:space="preserve">experiences and </w:t>
            </w:r>
            <w:r w:rsidR="008215B0" w:rsidRPr="00F02613">
              <w:rPr>
                <w:rFonts w:asciiTheme="majorHAnsi" w:hAnsiTheme="majorHAnsi" w:cstheme="majorHAnsi"/>
              </w:rPr>
              <w:t xml:space="preserve">advances on </w:t>
            </w:r>
            <w:r w:rsidR="00900786" w:rsidRPr="00F02613">
              <w:rPr>
                <w:rFonts w:asciiTheme="majorHAnsi" w:hAnsiTheme="majorHAnsi" w:cstheme="majorHAnsi"/>
              </w:rPr>
              <w:t xml:space="preserve">the integration of risks (or accurate pricing of risk) in </w:t>
            </w:r>
            <w:r w:rsidR="00E81A4D" w:rsidRPr="00F02613">
              <w:rPr>
                <w:rFonts w:asciiTheme="majorHAnsi" w:hAnsiTheme="majorHAnsi" w:cstheme="majorHAnsi"/>
              </w:rPr>
              <w:t>national budgets</w:t>
            </w:r>
            <w:r w:rsidR="00734415">
              <w:rPr>
                <w:rFonts w:asciiTheme="majorHAnsi" w:hAnsiTheme="majorHAnsi" w:cstheme="majorHAnsi"/>
              </w:rPr>
              <w:t xml:space="preserve"> and</w:t>
            </w:r>
            <w:r w:rsidR="00DC6C4B">
              <w:rPr>
                <w:rFonts w:asciiTheme="majorHAnsi" w:hAnsiTheme="majorHAnsi" w:cstheme="majorHAnsi"/>
              </w:rPr>
              <w:t xml:space="preserve"> corporate capital investment</w:t>
            </w:r>
            <w:r w:rsidR="00734415">
              <w:rPr>
                <w:rFonts w:asciiTheme="majorHAnsi" w:hAnsiTheme="majorHAnsi" w:cstheme="majorHAnsi"/>
              </w:rPr>
              <w:t>.</w:t>
            </w:r>
          </w:p>
          <w:p w14:paraId="7D616A7B" w14:textId="7E5320F9" w:rsidR="00B21223" w:rsidRPr="00F02613" w:rsidRDefault="00C11F81" w:rsidP="00E6792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Demonstrate how communities have </w:t>
            </w:r>
            <w:r w:rsidR="00E67927">
              <w:rPr>
                <w:rFonts w:asciiTheme="majorHAnsi" w:hAnsiTheme="majorHAnsi" w:cstheme="majorHAnsi"/>
              </w:rPr>
              <w:t xml:space="preserve">voluntarily </w:t>
            </w:r>
            <w:r>
              <w:rPr>
                <w:rFonts w:asciiTheme="majorHAnsi" w:hAnsiTheme="majorHAnsi" w:cstheme="majorHAnsi"/>
              </w:rPr>
              <w:t>upgr</w:t>
            </w:r>
            <w:r w:rsidR="00A116B9">
              <w:rPr>
                <w:rFonts w:asciiTheme="majorHAnsi" w:hAnsiTheme="majorHAnsi" w:cstheme="majorHAnsi"/>
              </w:rPr>
              <w:t>ade</w:t>
            </w:r>
            <w:r w:rsidR="00E67927">
              <w:rPr>
                <w:rFonts w:asciiTheme="majorHAnsi" w:hAnsiTheme="majorHAnsi" w:cstheme="majorHAnsi"/>
              </w:rPr>
              <w:t>d</w:t>
            </w:r>
            <w:r w:rsidR="00A116B9">
              <w:rPr>
                <w:rFonts w:asciiTheme="majorHAnsi" w:hAnsiTheme="majorHAnsi" w:cstheme="majorHAnsi"/>
              </w:rPr>
              <w:t xml:space="preserve"> local codes to address </w:t>
            </w:r>
            <w:r w:rsidR="00736859">
              <w:rPr>
                <w:rFonts w:asciiTheme="majorHAnsi" w:hAnsiTheme="majorHAnsi" w:cstheme="majorHAnsi"/>
              </w:rPr>
              <w:t>risks and</w:t>
            </w:r>
            <w:r>
              <w:rPr>
                <w:rFonts w:asciiTheme="majorHAnsi" w:hAnsiTheme="majorHAnsi" w:cstheme="majorHAnsi"/>
              </w:rPr>
              <w:t xml:space="preserve"> identify where voluntary standards have emerged </w:t>
            </w:r>
            <w:r w:rsidR="00E67927">
              <w:rPr>
                <w:rFonts w:asciiTheme="majorHAnsi" w:hAnsiTheme="majorHAnsi" w:cstheme="majorHAnsi"/>
              </w:rPr>
              <w:t xml:space="preserve">in the absence of </w:t>
            </w:r>
            <w:r>
              <w:rPr>
                <w:rFonts w:asciiTheme="majorHAnsi" w:hAnsiTheme="majorHAnsi" w:cstheme="majorHAnsi"/>
              </w:rPr>
              <w:t>political decisions.</w:t>
            </w:r>
            <w:r w:rsidR="008215B0" w:rsidRPr="00F02613">
              <w:rPr>
                <w:rFonts w:asciiTheme="majorHAnsi" w:hAnsiTheme="majorHAnsi" w:cstheme="majorHAnsi"/>
              </w:rPr>
              <w:t xml:space="preserve"> </w:t>
            </w:r>
          </w:p>
          <w:p w14:paraId="70832A35" w14:textId="5624E7F7" w:rsidR="00900786" w:rsidRPr="00B21223" w:rsidRDefault="00E81F0F" w:rsidP="00E6792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Demonstrate an </w:t>
            </w:r>
            <w:r w:rsidR="00B21223">
              <w:rPr>
                <w:rFonts w:asciiTheme="majorHAnsi" w:hAnsiTheme="majorHAnsi" w:cstheme="majorHAnsi"/>
              </w:rPr>
              <w:t>understanding of i</w:t>
            </w:r>
            <w:r w:rsidR="00B21223" w:rsidRPr="00B21223">
              <w:rPr>
                <w:rFonts w:asciiTheme="majorHAnsi" w:hAnsiTheme="majorHAnsi" w:cstheme="majorHAnsi"/>
              </w:rPr>
              <w:t>ncentives for</w:t>
            </w:r>
            <w:r>
              <w:rPr>
                <w:rFonts w:asciiTheme="majorHAnsi" w:hAnsiTheme="majorHAnsi" w:cstheme="majorHAnsi"/>
              </w:rPr>
              <w:t xml:space="preserve"> making</w:t>
            </w:r>
            <w:r w:rsidR="00B21223" w:rsidRPr="00B21223">
              <w:rPr>
                <w:rFonts w:asciiTheme="majorHAnsi" w:hAnsiTheme="majorHAnsi" w:cstheme="majorHAnsi"/>
              </w:rPr>
              <w:t xml:space="preserve"> risk informed investments: What are the inherent incentives and how </w:t>
            </w:r>
            <w:r w:rsidR="00E67927">
              <w:rPr>
                <w:rFonts w:asciiTheme="majorHAnsi" w:hAnsiTheme="majorHAnsi" w:cstheme="majorHAnsi"/>
              </w:rPr>
              <w:t xml:space="preserve">can </w:t>
            </w:r>
            <w:r w:rsidR="00B21223" w:rsidRPr="00B21223">
              <w:rPr>
                <w:rFonts w:asciiTheme="majorHAnsi" w:hAnsiTheme="majorHAnsi" w:cstheme="majorHAnsi"/>
              </w:rPr>
              <w:t>policies create incentives?</w:t>
            </w:r>
            <w:r w:rsidR="00C11F81">
              <w:rPr>
                <w:rFonts w:asciiTheme="majorHAnsi" w:hAnsiTheme="majorHAnsi" w:cstheme="majorHAnsi"/>
              </w:rPr>
              <w:t xml:space="preserve"> </w:t>
            </w:r>
          </w:p>
          <w:p w14:paraId="0D6092D7" w14:textId="77777777" w:rsidR="005F70F8" w:rsidRDefault="00B21223" w:rsidP="00F0261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Identify the </w:t>
            </w:r>
            <w:r w:rsidRPr="00B21223">
              <w:rPr>
                <w:rFonts w:asciiTheme="majorHAnsi" w:hAnsiTheme="majorHAnsi" w:cstheme="majorHAnsi"/>
              </w:rPr>
              <w:t xml:space="preserve">obstacles (i.e. </w:t>
            </w:r>
            <w:r w:rsidR="00C11F81">
              <w:rPr>
                <w:rFonts w:asciiTheme="majorHAnsi" w:hAnsiTheme="majorHAnsi" w:cstheme="majorHAnsi"/>
              </w:rPr>
              <w:t xml:space="preserve">predictive science limitations, </w:t>
            </w:r>
            <w:r w:rsidRPr="00B21223">
              <w:rPr>
                <w:rFonts w:asciiTheme="majorHAnsi" w:hAnsiTheme="majorHAnsi" w:cstheme="majorHAnsi"/>
              </w:rPr>
              <w:t>financial, uncertainty, expertise)</w:t>
            </w:r>
            <w:r w:rsidR="00F02613">
              <w:rPr>
                <w:rFonts w:asciiTheme="majorHAnsi" w:hAnsiTheme="majorHAnsi" w:cstheme="majorHAnsi"/>
              </w:rPr>
              <w:t xml:space="preserve"> for the integration of disaster risk considerations </w:t>
            </w:r>
            <w:r w:rsidR="00F02613">
              <w:rPr>
                <w:rFonts w:asciiTheme="majorHAnsi" w:hAnsiTheme="majorHAnsi" w:cstheme="majorHAnsi"/>
              </w:rPr>
              <w:lastRenderedPageBreak/>
              <w:t xml:space="preserve">in public </w:t>
            </w:r>
            <w:r w:rsidR="00DC6C4B">
              <w:rPr>
                <w:rFonts w:asciiTheme="majorHAnsi" w:hAnsiTheme="majorHAnsi" w:cstheme="majorHAnsi"/>
              </w:rPr>
              <w:t xml:space="preserve">and private investment </w:t>
            </w:r>
            <w:r w:rsidR="00C11F81">
              <w:rPr>
                <w:rFonts w:asciiTheme="majorHAnsi" w:hAnsiTheme="majorHAnsi" w:cstheme="majorHAnsi"/>
              </w:rPr>
              <w:t xml:space="preserve">evaluation, </w:t>
            </w:r>
            <w:r w:rsidR="00DC6C4B">
              <w:rPr>
                <w:rFonts w:asciiTheme="majorHAnsi" w:hAnsiTheme="majorHAnsi" w:cstheme="majorHAnsi"/>
              </w:rPr>
              <w:t>planning</w:t>
            </w:r>
            <w:r w:rsidR="00545952">
              <w:rPr>
                <w:rFonts w:asciiTheme="majorHAnsi" w:hAnsiTheme="majorHAnsi" w:cstheme="majorHAnsi"/>
              </w:rPr>
              <w:t>, design and construction</w:t>
            </w:r>
            <w:r w:rsidR="005F70F8">
              <w:rPr>
                <w:rFonts w:asciiTheme="majorHAnsi" w:hAnsiTheme="majorHAnsi" w:cstheme="majorHAnsi"/>
              </w:rPr>
              <w:t>.</w:t>
            </w:r>
          </w:p>
          <w:p w14:paraId="3880A99A" w14:textId="155B8113" w:rsidR="00526499" w:rsidRPr="00F02613" w:rsidRDefault="005F70F8" w:rsidP="00D5659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Discuss about examples where</w:t>
            </w:r>
            <w:r w:rsidR="00C11F81">
              <w:rPr>
                <w:rFonts w:asciiTheme="majorHAnsi" w:hAnsiTheme="majorHAnsi" w:cstheme="majorHAnsi"/>
              </w:rPr>
              <w:t xml:space="preserve"> proper options of </w:t>
            </w:r>
            <w:r w:rsidR="00E67927">
              <w:rPr>
                <w:rFonts w:asciiTheme="majorHAnsi" w:hAnsiTheme="majorHAnsi" w:cstheme="majorHAnsi"/>
              </w:rPr>
              <w:t xml:space="preserve">infrastructure </w:t>
            </w:r>
            <w:r w:rsidR="00C11F81">
              <w:rPr>
                <w:rFonts w:asciiTheme="majorHAnsi" w:hAnsiTheme="majorHAnsi" w:cstheme="majorHAnsi"/>
              </w:rPr>
              <w:t xml:space="preserve">location </w:t>
            </w:r>
            <w:r w:rsidR="00D56599">
              <w:rPr>
                <w:rFonts w:asciiTheme="majorHAnsi" w:hAnsiTheme="majorHAnsi" w:cstheme="majorHAnsi"/>
              </w:rPr>
              <w:t xml:space="preserve">have </w:t>
            </w:r>
            <w:r w:rsidR="00C11F81">
              <w:rPr>
                <w:rFonts w:asciiTheme="majorHAnsi" w:hAnsiTheme="majorHAnsi" w:cstheme="majorHAnsi"/>
              </w:rPr>
              <w:t>be</w:t>
            </w:r>
            <w:r w:rsidR="00D56599">
              <w:rPr>
                <w:rFonts w:asciiTheme="majorHAnsi" w:hAnsiTheme="majorHAnsi" w:cstheme="majorHAnsi"/>
              </w:rPr>
              <w:t>en</w:t>
            </w:r>
            <w:r w:rsidR="00C11F81">
              <w:rPr>
                <w:rFonts w:asciiTheme="majorHAnsi" w:hAnsiTheme="majorHAnsi" w:cstheme="majorHAnsi"/>
              </w:rPr>
              <w:t xml:space="preserve"> considered in the evaluation</w:t>
            </w:r>
            <w:r w:rsidR="00D56599">
              <w:rPr>
                <w:rFonts w:asciiTheme="majorHAnsi" w:hAnsiTheme="majorHAnsi" w:cstheme="majorHAnsi"/>
              </w:rPr>
              <w:t xml:space="preserve"> of investment projects</w:t>
            </w:r>
            <w:r w:rsidR="00C11F81">
              <w:rPr>
                <w:rFonts w:asciiTheme="majorHAnsi" w:hAnsiTheme="majorHAnsi" w:cstheme="majorHAnsi"/>
              </w:rPr>
              <w:t>.</w:t>
            </w:r>
          </w:p>
        </w:tc>
      </w:tr>
      <w:tr w:rsidR="001A4125" w:rsidRPr="00B3118E" w14:paraId="0B65F665" w14:textId="77777777" w:rsidTr="00546F59">
        <w:tc>
          <w:tcPr>
            <w:tcW w:w="1980" w:type="dxa"/>
          </w:tcPr>
          <w:p w14:paraId="14A13009" w14:textId="61AA2F25" w:rsidR="001A4125" w:rsidRPr="00B3118E" w:rsidRDefault="001A4125" w:rsidP="00337503">
            <w:pPr>
              <w:spacing w:before="60" w:after="60" w:line="252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>Agenda and Structure</w:t>
            </w:r>
          </w:p>
        </w:tc>
        <w:tc>
          <w:tcPr>
            <w:tcW w:w="7848" w:type="dxa"/>
          </w:tcPr>
          <w:p w14:paraId="7D6BA8D9" w14:textId="727363AE" w:rsidR="005A0115" w:rsidRDefault="004B73C2" w:rsidP="00982C3F">
            <w:pPr>
              <w:pStyle w:val="Prrafodelista"/>
              <w:numPr>
                <w:ilvl w:val="0"/>
                <w:numId w:val="16"/>
              </w:numPr>
              <w:spacing w:after="120" w:line="259" w:lineRule="auto"/>
              <w:ind w:right="176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</w:pPr>
            <w:r w:rsidRPr="004B73C2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Discussion </w:t>
            </w:r>
            <w:r w:rsid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>and introduction of the rationale by the moderator of the Session</w:t>
            </w:r>
          </w:p>
          <w:p w14:paraId="2836E559" w14:textId="291302D4" w:rsidR="00982C3F" w:rsidRDefault="00982C3F" w:rsidP="00982C3F">
            <w:pPr>
              <w:pStyle w:val="Prrafodelista"/>
              <w:numPr>
                <w:ilvl w:val="0"/>
                <w:numId w:val="16"/>
              </w:numPr>
              <w:spacing w:after="120" w:line="259" w:lineRule="auto"/>
              <w:ind w:right="176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</w:pPr>
            <w:r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>Country presentation of a</w:t>
            </w:r>
            <w:r w:rsidR="005A0115"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dvances, challenges and limitations </w:t>
            </w:r>
            <w:r w:rsidR="001D35BF"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>in identifying</w:t>
            </w:r>
            <w:r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>, quan</w:t>
            </w:r>
            <w:r w:rsidR="002C6DB7"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>tifying</w:t>
            </w:r>
            <w:r w:rsidR="001D35BF"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 </w:t>
            </w:r>
            <w:r w:rsidR="00900786"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and integrating </w:t>
            </w:r>
            <w:r w:rsidR="001D35BF"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disaster risks </w:t>
            </w:r>
            <w:r w:rsidR="00900786"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considerations </w:t>
            </w:r>
            <w:r w:rsidR="001D35BF"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(risk pricing) </w:t>
            </w:r>
            <w:r w:rsidR="00E81A4D"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when </w:t>
            </w:r>
            <w:r w:rsidR="003F2067"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>planning or</w:t>
            </w:r>
            <w:r w:rsidR="002C6DB7"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 evaluating </w:t>
            </w:r>
            <w:r w:rsidR="003F2067"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>investments</w:t>
            </w:r>
            <w:r w:rsidR="00EE0F30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>.</w:t>
            </w:r>
          </w:p>
          <w:p w14:paraId="41F177DE" w14:textId="5059D5C2" w:rsidR="004B73C2" w:rsidRPr="00FE6D4C" w:rsidRDefault="00982C3F" w:rsidP="00FE6D4C">
            <w:pPr>
              <w:pStyle w:val="Prrafodelista"/>
              <w:numPr>
                <w:ilvl w:val="0"/>
                <w:numId w:val="16"/>
              </w:numPr>
              <w:spacing w:after="120" w:line="259" w:lineRule="auto"/>
              <w:ind w:right="176"/>
              <w:jc w:val="both"/>
              <w:rPr>
                <w:rFonts w:asciiTheme="majorHAnsi" w:eastAsiaTheme="minorEastAsia" w:hAnsiTheme="majorHAnsi"/>
              </w:rPr>
            </w:pPr>
            <w:r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>Presentation from private sector think tank on the</w:t>
            </w:r>
            <w:r w:rsidR="00211500"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 </w:t>
            </w:r>
            <w:r w:rsidR="00C02EDF"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status of </w:t>
            </w:r>
            <w:r w:rsidR="009517BB"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building codes and </w:t>
            </w:r>
            <w:r w:rsidR="00E81A4D"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standards, principles and </w:t>
            </w:r>
            <w:r w:rsidR="00DC6C4B"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metrics </w:t>
            </w:r>
            <w:r w:rsidR="00C02EDF"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>to align better with future risk scenarios to create risk resilient communities</w:t>
            </w:r>
            <w:r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 (The Economi</w:t>
            </w:r>
            <w:r w:rsidR="005F70F8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>st</w:t>
            </w:r>
            <w:r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 Intelligence </w:t>
            </w:r>
            <w:r w:rsidR="005F70F8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Unit </w:t>
            </w:r>
            <w:r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>or other)</w:t>
            </w:r>
            <w:r w:rsidR="00C11F81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 including the emergence of voluntary standards where current standards are inadequate.</w:t>
            </w:r>
            <w:r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 </w:t>
            </w:r>
            <w:r w:rsidR="004B73C2" w:rsidRPr="00FE6D4C">
              <w:rPr>
                <w:rFonts w:asciiTheme="majorHAnsi" w:eastAsiaTheme="minorEastAsia" w:hAnsiTheme="majorHAnsi"/>
              </w:rPr>
              <w:t xml:space="preserve"> </w:t>
            </w:r>
          </w:p>
          <w:p w14:paraId="0F13DD8D" w14:textId="3CA33D66" w:rsidR="00677CAE" w:rsidRPr="00677CAE" w:rsidRDefault="00677CAE" w:rsidP="00677CAE">
            <w:pPr>
              <w:pStyle w:val="Prrafodelista"/>
              <w:numPr>
                <w:ilvl w:val="0"/>
                <w:numId w:val="16"/>
              </w:numPr>
              <w:spacing w:after="120" w:line="259" w:lineRule="auto"/>
              <w:ind w:right="176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</w:pPr>
            <w:r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Round of discussion on </w:t>
            </w:r>
            <w:r w:rsidRPr="00982C3F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>incremental investments that provide higher level of disaster risk reduction.</w:t>
            </w:r>
          </w:p>
          <w:p w14:paraId="0208BB7C" w14:textId="77777777" w:rsidR="001D35BF" w:rsidRPr="004B73C2" w:rsidRDefault="001D35BF" w:rsidP="004B73C2">
            <w:pPr>
              <w:pStyle w:val="Prrafodelista"/>
              <w:ind w:left="166" w:right="176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</w:pPr>
          </w:p>
          <w:p w14:paraId="06BC9327" w14:textId="216A43A7" w:rsidR="008536FF" w:rsidRPr="00336D69" w:rsidRDefault="00211500" w:rsidP="00336D69">
            <w:pPr>
              <w:ind w:right="176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Discussants</w:t>
            </w:r>
            <w:r w:rsidR="004B73C2" w:rsidRPr="007F5AD1">
              <w:rPr>
                <w:rFonts w:asciiTheme="majorHAnsi" w:hAnsiTheme="majorHAnsi"/>
              </w:rPr>
              <w:t xml:space="preserve"> - Representatives from Ministries of Economy and Finance</w:t>
            </w:r>
            <w:r w:rsidR="005C39DD" w:rsidRPr="007F5AD1">
              <w:rPr>
                <w:rFonts w:asciiTheme="majorHAnsi" w:hAnsiTheme="majorHAnsi"/>
              </w:rPr>
              <w:t xml:space="preserve">, </w:t>
            </w:r>
            <w:r w:rsidR="00B21223">
              <w:rPr>
                <w:rFonts w:asciiTheme="majorHAnsi" w:hAnsiTheme="majorHAnsi"/>
              </w:rPr>
              <w:t xml:space="preserve">transportation, energy, </w:t>
            </w:r>
            <w:r w:rsidR="005C39DD" w:rsidRPr="007F5AD1">
              <w:rPr>
                <w:rFonts w:asciiTheme="majorHAnsi" w:hAnsiTheme="majorHAnsi"/>
              </w:rPr>
              <w:t>private sector corporate representatives</w:t>
            </w:r>
            <w:r w:rsidR="00E81A4D" w:rsidRPr="007F5AD1">
              <w:rPr>
                <w:rFonts w:asciiTheme="majorHAnsi" w:hAnsiTheme="majorHAnsi"/>
              </w:rPr>
              <w:t xml:space="preserve"> and other sectors</w:t>
            </w:r>
            <w:r w:rsidR="005C39DD" w:rsidRPr="007F5AD1">
              <w:rPr>
                <w:rFonts w:asciiTheme="majorHAnsi" w:hAnsiTheme="majorHAnsi"/>
              </w:rPr>
              <w:t xml:space="preserve"> </w:t>
            </w:r>
            <w:r w:rsidR="004B73C2" w:rsidRPr="007F5AD1">
              <w:rPr>
                <w:rFonts w:asciiTheme="majorHAnsi" w:hAnsiTheme="majorHAnsi"/>
              </w:rPr>
              <w:t>will discuss the challenges they face in developing financial ri</w:t>
            </w:r>
            <w:r w:rsidR="005A1D5C">
              <w:rPr>
                <w:rFonts w:asciiTheme="majorHAnsi" w:hAnsiTheme="majorHAnsi"/>
              </w:rPr>
              <w:t>sk management actions and analys</w:t>
            </w:r>
            <w:r w:rsidR="004B73C2" w:rsidRPr="007F5AD1">
              <w:rPr>
                <w:rFonts w:asciiTheme="majorHAnsi" w:hAnsiTheme="majorHAnsi"/>
              </w:rPr>
              <w:t xml:space="preserve">e the possibility of a regional initiative to support risk </w:t>
            </w:r>
            <w:r w:rsidR="00E81A4D" w:rsidRPr="007F5AD1">
              <w:rPr>
                <w:rFonts w:asciiTheme="majorHAnsi" w:hAnsiTheme="majorHAnsi"/>
              </w:rPr>
              <w:t xml:space="preserve">sensitive investment </w:t>
            </w:r>
            <w:r w:rsidR="004B73C2" w:rsidRPr="007F5AD1">
              <w:rPr>
                <w:rFonts w:asciiTheme="majorHAnsi" w:hAnsiTheme="majorHAnsi"/>
              </w:rPr>
              <w:t xml:space="preserve">management plans. </w:t>
            </w:r>
          </w:p>
        </w:tc>
      </w:tr>
      <w:tr w:rsidR="00526499" w:rsidRPr="00B3118E" w14:paraId="20E706BA" w14:textId="77777777" w:rsidTr="00546F59">
        <w:tc>
          <w:tcPr>
            <w:tcW w:w="1980" w:type="dxa"/>
          </w:tcPr>
          <w:p w14:paraId="39EE2032" w14:textId="76E9A105" w:rsidR="00526499" w:rsidRPr="00B3118E" w:rsidRDefault="0085647D" w:rsidP="00595B87">
            <w:pPr>
              <w:pStyle w:val="Default"/>
              <w:spacing w:before="60" w:after="60" w:line="252" w:lineRule="auto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eastAsia="Times New Roman" w:hAnsiTheme="minorHAnsi" w:cs="Calibri"/>
                <w:b/>
                <w:bCs/>
                <w:lang w:val="en-GB"/>
              </w:rPr>
              <w:t xml:space="preserve"> </w:t>
            </w:r>
            <w:r w:rsidR="00BF3BF8">
              <w:rPr>
                <w:rFonts w:asciiTheme="minorHAnsi" w:eastAsia="Times New Roman" w:hAnsiTheme="minorHAnsi" w:cs="Calibri"/>
                <w:b/>
                <w:bCs/>
                <w:lang w:val="en-GB"/>
              </w:rPr>
              <w:t>Expected outcomes</w:t>
            </w:r>
          </w:p>
        </w:tc>
        <w:tc>
          <w:tcPr>
            <w:tcW w:w="7848" w:type="dxa"/>
          </w:tcPr>
          <w:p w14:paraId="12F69EEC" w14:textId="1B9C0969" w:rsidR="004B4558" w:rsidRPr="000D4751" w:rsidRDefault="00953F63" w:rsidP="0099499F">
            <w:pPr>
              <w:pStyle w:val="Prrafodelista"/>
              <w:numPr>
                <w:ilvl w:val="0"/>
                <w:numId w:val="24"/>
              </w:numPr>
              <w:spacing w:before="60" w:after="60" w:line="252" w:lineRule="auto"/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</w:pPr>
            <w:r w:rsidRPr="000D4751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Identify </w:t>
            </w:r>
            <w:r w:rsidR="004B4558" w:rsidRPr="000D4751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>successful approaches for integrating risk management into public and private investment decisions.</w:t>
            </w:r>
          </w:p>
          <w:p w14:paraId="1A3B89F2" w14:textId="0EC34C2A" w:rsidR="004B4558" w:rsidRPr="000D4751" w:rsidRDefault="004B4558" w:rsidP="004B455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</w:pPr>
            <w:r w:rsidRPr="000D4751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Illustrate positive impacts and multiple dividends of risk informed investments in using </w:t>
            </w:r>
            <w:r w:rsidR="00922112" w:rsidRPr="000D4751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risk knowledge </w:t>
            </w:r>
            <w:r w:rsidRPr="000D4751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>advances in national budgets</w:t>
            </w:r>
            <w:r w:rsidR="00922112" w:rsidRPr="000D4751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, public and private infrastructure </w:t>
            </w:r>
            <w:r w:rsidRPr="000D4751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>and corporate capital investment.</w:t>
            </w:r>
          </w:p>
          <w:p w14:paraId="5F5B9F61" w14:textId="495081DC" w:rsidR="004B4558" w:rsidRPr="000D4751" w:rsidRDefault="004B4558" w:rsidP="004B455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</w:pPr>
            <w:r w:rsidRPr="000D4751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Identify the </w:t>
            </w:r>
            <w:r w:rsidR="00A116B9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>obstacles</w:t>
            </w:r>
            <w:r w:rsidRPr="000D4751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 for the integration of disaster risk considerations in public and private investment evaluation, planning, design and construction.</w:t>
            </w:r>
          </w:p>
          <w:p w14:paraId="1DC68D84" w14:textId="77777777" w:rsidR="00A110BF" w:rsidRPr="000D4751" w:rsidRDefault="00A110BF" w:rsidP="00A110B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</w:pPr>
            <w:r w:rsidRPr="000D4751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>S</w:t>
            </w:r>
            <w:r w:rsidR="00FF4C85" w:rsidRPr="000D4751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pearhead action to ensure measures are put in place to incentivize </w:t>
            </w:r>
            <w:r w:rsidRPr="000D4751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 xml:space="preserve">public and </w:t>
            </w:r>
            <w:r w:rsidR="00FF4C85" w:rsidRPr="000D4751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>the private sector to commit to risk-informed investments and practices.  </w:t>
            </w:r>
          </w:p>
          <w:p w14:paraId="7F55FD65" w14:textId="3D5E2E29" w:rsidR="008536FF" w:rsidRPr="00A110BF" w:rsidRDefault="00A110BF" w:rsidP="00A110B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hAnsi="Calibri"/>
                <w:color w:val="212121"/>
                <w:sz w:val="22"/>
                <w:szCs w:val="22"/>
              </w:rPr>
            </w:pPr>
            <w:r w:rsidRPr="000D4751">
              <w:rPr>
                <w:rFonts w:asciiTheme="majorHAnsi" w:eastAsiaTheme="minorEastAsia" w:hAnsiTheme="majorHAnsi" w:cstheme="minorBidi"/>
                <w:sz w:val="22"/>
                <w:szCs w:val="22"/>
                <w:lang w:val="en-GB" w:eastAsia="zh-CN"/>
              </w:rPr>
              <w:t>Create sense of urgency to update voluntary industry certification and standards (including building codes) that are disaster scenario specific.</w:t>
            </w:r>
          </w:p>
        </w:tc>
      </w:tr>
      <w:tr w:rsidR="00526499" w:rsidRPr="00B3118E" w14:paraId="7EB594DC" w14:textId="77777777" w:rsidTr="00546F59">
        <w:tc>
          <w:tcPr>
            <w:tcW w:w="1980" w:type="dxa"/>
          </w:tcPr>
          <w:p w14:paraId="59F9CAEF" w14:textId="452728BF" w:rsidR="00526499" w:rsidRPr="00B3118E" w:rsidRDefault="00526499" w:rsidP="00FD7302">
            <w:pPr>
              <w:spacing w:before="60" w:after="60" w:line="252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3118E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Special commitments / Announcements </w:t>
            </w:r>
          </w:p>
        </w:tc>
        <w:tc>
          <w:tcPr>
            <w:tcW w:w="7848" w:type="dxa"/>
          </w:tcPr>
          <w:p w14:paraId="5EEB29F5" w14:textId="52F948E4" w:rsidR="00526499" w:rsidRPr="00B3118E" w:rsidRDefault="007A03AC" w:rsidP="00FD7302">
            <w:pPr>
              <w:spacing w:before="60" w:after="60" w:line="252" w:lineRule="auto"/>
              <w:rPr>
                <w:rFonts w:cs="Calibri"/>
                <w:b/>
                <w:bCs/>
                <w:i/>
                <w:iCs/>
                <w:color w:val="808080"/>
                <w:sz w:val="24"/>
                <w:szCs w:val="24"/>
              </w:rPr>
            </w:pPr>
            <w:r w:rsidRPr="00B3118E">
              <w:rPr>
                <w:rFonts w:cs="Calibri"/>
                <w:b/>
                <w:bCs/>
                <w:i/>
                <w:iCs/>
                <w:color w:val="808080"/>
                <w:sz w:val="24"/>
                <w:szCs w:val="24"/>
              </w:rPr>
              <w:t xml:space="preserve">Expected commitments </w:t>
            </w:r>
            <w:r w:rsidR="008536FF">
              <w:rPr>
                <w:rFonts w:cs="Calibri"/>
                <w:b/>
                <w:bCs/>
                <w:i/>
                <w:iCs/>
                <w:color w:val="808080"/>
                <w:sz w:val="24"/>
                <w:szCs w:val="24"/>
              </w:rPr>
              <w:t xml:space="preserve">in support of the implementation of the Sendai Framework </w:t>
            </w:r>
            <w:r w:rsidRPr="00B3118E">
              <w:rPr>
                <w:rFonts w:cs="Calibri"/>
                <w:b/>
                <w:bCs/>
                <w:i/>
                <w:iCs/>
                <w:color w:val="808080"/>
                <w:sz w:val="24"/>
                <w:szCs w:val="24"/>
              </w:rPr>
              <w:t>and announcements from panellists or participants</w:t>
            </w:r>
          </w:p>
        </w:tc>
      </w:tr>
      <w:tr w:rsidR="00650A64" w:rsidRPr="00B3118E" w14:paraId="466CB83F" w14:textId="77777777" w:rsidTr="00546F59">
        <w:tc>
          <w:tcPr>
            <w:tcW w:w="1980" w:type="dxa"/>
          </w:tcPr>
          <w:p w14:paraId="10C6992D" w14:textId="51FA3AEA" w:rsidR="00650A64" w:rsidRPr="00B3118E" w:rsidRDefault="00650A64" w:rsidP="000F0AF2">
            <w:pPr>
              <w:spacing w:before="60" w:after="60" w:line="252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B3118E">
              <w:rPr>
                <w:rFonts w:cs="Calibri"/>
                <w:b/>
                <w:bCs/>
                <w:sz w:val="24"/>
                <w:szCs w:val="24"/>
              </w:rPr>
              <w:t>Proposed Moderator of the Session</w:t>
            </w:r>
          </w:p>
        </w:tc>
        <w:tc>
          <w:tcPr>
            <w:tcW w:w="7848" w:type="dxa"/>
          </w:tcPr>
          <w:p w14:paraId="2DEF0A59" w14:textId="32A399E4" w:rsidR="00650A64" w:rsidRPr="0046601C" w:rsidRDefault="00087FDF" w:rsidP="00087FDF">
            <w:pPr>
              <w:rPr>
                <w:rFonts w:cs="Calibri"/>
                <w:b/>
                <w:bCs/>
                <w:iCs/>
                <w:color w:val="808080"/>
              </w:rPr>
            </w:pPr>
            <w:r>
              <w:t>David Eades, BBC</w:t>
            </w:r>
          </w:p>
        </w:tc>
      </w:tr>
      <w:tr w:rsidR="00526499" w:rsidRPr="00B3118E" w14:paraId="40B435DB" w14:textId="77777777" w:rsidTr="00546F59">
        <w:tc>
          <w:tcPr>
            <w:tcW w:w="1980" w:type="dxa"/>
          </w:tcPr>
          <w:p w14:paraId="258A265E" w14:textId="2EEEB162" w:rsidR="00526499" w:rsidRPr="00B3118E" w:rsidRDefault="00526499" w:rsidP="00BC290C">
            <w:pPr>
              <w:spacing w:before="60" w:after="60" w:line="252" w:lineRule="auto"/>
              <w:rPr>
                <w:b/>
                <w:bCs/>
                <w:sz w:val="24"/>
                <w:szCs w:val="24"/>
              </w:rPr>
            </w:pPr>
            <w:r w:rsidRPr="00B3118E">
              <w:rPr>
                <w:rFonts w:cs="Calibri"/>
                <w:b/>
                <w:bCs/>
                <w:sz w:val="24"/>
                <w:szCs w:val="24"/>
              </w:rPr>
              <w:t xml:space="preserve">List of </w:t>
            </w:r>
            <w:r w:rsidR="000F0AF2" w:rsidRPr="00B3118E">
              <w:rPr>
                <w:rFonts w:cs="Calibri"/>
                <w:b/>
                <w:bCs/>
                <w:sz w:val="24"/>
                <w:szCs w:val="24"/>
              </w:rPr>
              <w:t xml:space="preserve">Panellists </w:t>
            </w:r>
          </w:p>
        </w:tc>
        <w:tc>
          <w:tcPr>
            <w:tcW w:w="7848" w:type="dxa"/>
          </w:tcPr>
          <w:p w14:paraId="5E4D35B6" w14:textId="77777777" w:rsidR="004C2F0C" w:rsidRPr="00610B96" w:rsidRDefault="004C2F0C" w:rsidP="004C2F0C">
            <w:pPr>
              <w:rPr>
                <w:lang w:val="es-PA"/>
              </w:rPr>
            </w:pPr>
            <w:r w:rsidRPr="00610B96">
              <w:rPr>
                <w:lang w:val="es-PA"/>
              </w:rPr>
              <w:t>Sandra Wu- Global Compact UN</w:t>
            </w:r>
          </w:p>
          <w:p w14:paraId="53126B72" w14:textId="3B5572CB" w:rsidR="004C2F0C" w:rsidRPr="00902506" w:rsidRDefault="004377EC" w:rsidP="004C2F0C">
            <w:pPr>
              <w:rPr>
                <w:lang w:val="en-US"/>
              </w:rPr>
            </w:pPr>
            <w:r w:rsidRPr="00610B96">
              <w:rPr>
                <w:lang w:val="es-PA"/>
              </w:rPr>
              <w:lastRenderedPageBreak/>
              <w:t xml:space="preserve">Mr. Isidoro Santana.  </w:t>
            </w:r>
            <w:r w:rsidR="004C2F0C">
              <w:rPr>
                <w:lang w:val="en-US"/>
              </w:rPr>
              <w:t>Minister of Planning – Dominican Republic</w:t>
            </w:r>
            <w:r w:rsidR="004C2F0C" w:rsidRPr="00902506">
              <w:rPr>
                <w:lang w:val="en-US"/>
              </w:rPr>
              <w:tab/>
            </w:r>
            <w:r w:rsidR="004C2F0C">
              <w:rPr>
                <w:lang w:val="en-US"/>
              </w:rPr>
              <w:t>(TBC)</w:t>
            </w:r>
            <w:r w:rsidR="004C2F0C" w:rsidRPr="00902506">
              <w:rPr>
                <w:lang w:val="en-US"/>
              </w:rPr>
              <w:tab/>
            </w:r>
            <w:r w:rsidR="004C2F0C" w:rsidRPr="00902506">
              <w:rPr>
                <w:lang w:val="en-US"/>
              </w:rPr>
              <w:tab/>
            </w:r>
          </w:p>
          <w:p w14:paraId="04B0D693" w14:textId="77777777" w:rsidR="004C2F0C" w:rsidRPr="00902506" w:rsidRDefault="004C2F0C" w:rsidP="004C2F0C">
            <w:pPr>
              <w:rPr>
                <w:lang w:val="en-US"/>
              </w:rPr>
            </w:pPr>
            <w:r w:rsidRPr="00902506">
              <w:rPr>
                <w:lang w:val="en-US"/>
              </w:rPr>
              <w:t xml:space="preserve">Mr. Hiroshi </w:t>
            </w:r>
            <w:proofErr w:type="spellStart"/>
            <w:r w:rsidRPr="00902506">
              <w:rPr>
                <w:lang w:val="en-US"/>
              </w:rPr>
              <w:t>Yamakawa</w:t>
            </w:r>
            <w:proofErr w:type="spellEnd"/>
            <w:r w:rsidRPr="00902506">
              <w:rPr>
                <w:lang w:val="en-US"/>
              </w:rPr>
              <w:t>, President</w:t>
            </w:r>
            <w:r>
              <w:rPr>
                <w:lang w:val="en-US"/>
              </w:rPr>
              <w:t>-</w:t>
            </w:r>
            <w:r w:rsidRPr="00902506">
              <w:rPr>
                <w:lang w:val="en-US"/>
              </w:rPr>
              <w:t>Japan Aerospace Exploration Agency (JAXA)</w:t>
            </w:r>
            <w:r w:rsidRPr="00902506">
              <w:rPr>
                <w:lang w:val="en-US"/>
              </w:rPr>
              <w:tab/>
            </w:r>
          </w:p>
          <w:p w14:paraId="0F2476EF" w14:textId="61660212" w:rsidR="004C2F0C" w:rsidRPr="00902506" w:rsidRDefault="004C2F0C" w:rsidP="004C2F0C">
            <w:pPr>
              <w:rPr>
                <w:lang w:val="en-US"/>
              </w:rPr>
            </w:pPr>
            <w:r w:rsidRPr="00902506">
              <w:rPr>
                <w:lang w:val="en-US"/>
              </w:rPr>
              <w:t>Mr. Hans T. Sy</w:t>
            </w:r>
            <w:r>
              <w:rPr>
                <w:lang w:val="en-US"/>
              </w:rPr>
              <w:t xml:space="preserve">. </w:t>
            </w:r>
            <w:r w:rsidRPr="00902506">
              <w:rPr>
                <w:lang w:val="en-US"/>
              </w:rPr>
              <w:t>Chairman of the Executive Committee</w:t>
            </w:r>
            <w:r>
              <w:rPr>
                <w:lang w:val="en-US"/>
              </w:rPr>
              <w:t xml:space="preserve"> </w:t>
            </w:r>
            <w:r w:rsidRPr="00902506">
              <w:rPr>
                <w:lang w:val="en-US"/>
              </w:rPr>
              <w:t>SM Prime Holdings Inc</w:t>
            </w:r>
            <w:r>
              <w:rPr>
                <w:lang w:val="en-US"/>
              </w:rPr>
              <w:t xml:space="preserve">. </w:t>
            </w:r>
          </w:p>
          <w:p w14:paraId="42781A8D" w14:textId="7EB4FDE9" w:rsidR="008A7792" w:rsidRDefault="009C4A8E" w:rsidP="0093613A">
            <w:pPr>
              <w:rPr>
                <w:lang w:val="en-US"/>
              </w:rPr>
            </w:pPr>
            <w:r w:rsidRPr="009C4A8E">
              <w:rPr>
                <w:lang w:val="en-US"/>
              </w:rPr>
              <w:t xml:space="preserve">Hon. Sylvia </w:t>
            </w:r>
            <w:proofErr w:type="spellStart"/>
            <w:r w:rsidRPr="009C4A8E">
              <w:rPr>
                <w:lang w:val="en-US"/>
              </w:rPr>
              <w:t>Chalikosa</w:t>
            </w:r>
            <w:proofErr w:type="spellEnd"/>
            <w:r w:rsidRPr="009C4A8E">
              <w:rPr>
                <w:lang w:val="en-US"/>
              </w:rPr>
              <w:t xml:space="preserve">, </w:t>
            </w:r>
            <w:r w:rsidR="0093613A">
              <w:rPr>
                <w:rFonts w:hint="eastAsia"/>
              </w:rPr>
              <w:t>Minister in the office of the Vice President of Zambia</w:t>
            </w:r>
            <w:r w:rsidR="0093613A">
              <w:rPr>
                <w:lang w:val="en-US"/>
              </w:rPr>
              <w:t>.</w:t>
            </w:r>
            <w:bookmarkStart w:id="0" w:name="_GoBack"/>
            <w:bookmarkEnd w:id="0"/>
          </w:p>
          <w:p w14:paraId="77B12141" w14:textId="77777777" w:rsidR="009C4A8E" w:rsidRDefault="009C4A8E" w:rsidP="004C2F0C">
            <w:pPr>
              <w:rPr>
                <w:lang w:val="en-US"/>
              </w:rPr>
            </w:pPr>
          </w:p>
          <w:p w14:paraId="78063AB8" w14:textId="6155BCB0" w:rsidR="004C2F0C" w:rsidRPr="00902506" w:rsidRDefault="004C2F0C" w:rsidP="004C2F0C">
            <w:pPr>
              <w:rPr>
                <w:lang w:val="en-US"/>
              </w:rPr>
            </w:pPr>
            <w:r w:rsidRPr="00902506">
              <w:rPr>
                <w:lang w:val="en-US"/>
              </w:rPr>
              <w:t>Discussant</w:t>
            </w:r>
            <w:r w:rsidR="008A7792">
              <w:rPr>
                <w:lang w:val="en-US"/>
              </w:rPr>
              <w:t>s</w:t>
            </w:r>
            <w:r w:rsidRPr="00902506">
              <w:rPr>
                <w:lang w:val="en-US"/>
              </w:rPr>
              <w:t xml:space="preserve"> from the floor </w:t>
            </w:r>
          </w:p>
          <w:p w14:paraId="2207A5CC" w14:textId="77777777" w:rsidR="004C2F0C" w:rsidRPr="00902506" w:rsidRDefault="004C2F0C" w:rsidP="004C2F0C">
            <w:pPr>
              <w:rPr>
                <w:lang w:val="en-US"/>
              </w:rPr>
            </w:pPr>
            <w:r w:rsidRPr="00902506">
              <w:rPr>
                <w:lang w:val="en-US"/>
              </w:rPr>
              <w:t xml:space="preserve">1. </w:t>
            </w:r>
            <w:r>
              <w:rPr>
                <w:lang w:val="en-US"/>
              </w:rPr>
              <w:t xml:space="preserve"> </w:t>
            </w:r>
            <w:r w:rsidRPr="00902506">
              <w:rPr>
                <w:lang w:val="en-US"/>
              </w:rPr>
              <w:t>Daniel Sander</w:t>
            </w:r>
            <w:r>
              <w:rPr>
                <w:lang w:val="en-US"/>
              </w:rPr>
              <w:t>s</w:t>
            </w:r>
            <w:r w:rsidRPr="00902506">
              <w:rPr>
                <w:lang w:val="en-US"/>
              </w:rPr>
              <w:t>, RMS</w:t>
            </w:r>
          </w:p>
          <w:p w14:paraId="3FEEA171" w14:textId="0081D4A2" w:rsidR="009C4A8E" w:rsidRPr="008A7792" w:rsidRDefault="004C2F0C" w:rsidP="008A7792">
            <w:pPr>
              <w:rPr>
                <w:lang w:val="en-US"/>
              </w:rPr>
            </w:pPr>
            <w:r w:rsidRPr="00902506">
              <w:rPr>
                <w:lang w:val="en-US"/>
              </w:rPr>
              <w:t>2.  Aris Papadopoulos, Founder &amp; Chair at Resilience Action Fund</w:t>
            </w:r>
          </w:p>
        </w:tc>
      </w:tr>
      <w:tr w:rsidR="00512140" w:rsidRPr="00B3118E" w14:paraId="796DADA8" w14:textId="77777777" w:rsidTr="00546F59">
        <w:tc>
          <w:tcPr>
            <w:tcW w:w="1980" w:type="dxa"/>
          </w:tcPr>
          <w:p w14:paraId="5C82E92D" w14:textId="77777777" w:rsidR="00512140" w:rsidRPr="00B3118E" w:rsidRDefault="00512140" w:rsidP="00FD7302">
            <w:pPr>
              <w:spacing w:before="60" w:after="60" w:line="252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B3118E">
              <w:rPr>
                <w:rFonts w:cs="Calibri"/>
                <w:b/>
                <w:bCs/>
                <w:sz w:val="24"/>
                <w:szCs w:val="24"/>
              </w:rPr>
              <w:lastRenderedPageBreak/>
              <w:t>Reference Documents</w:t>
            </w:r>
          </w:p>
        </w:tc>
        <w:tc>
          <w:tcPr>
            <w:tcW w:w="7848" w:type="dxa"/>
          </w:tcPr>
          <w:p w14:paraId="20153287" w14:textId="77777777" w:rsidR="00E15044" w:rsidRPr="00000FBA" w:rsidRDefault="00E15044" w:rsidP="00E15044">
            <w:pPr>
              <w:pStyle w:val="Normal1"/>
              <w:numPr>
                <w:ilvl w:val="0"/>
                <w:numId w:val="18"/>
              </w:numPr>
              <w:jc w:val="both"/>
              <w:rPr>
                <w:rFonts w:asciiTheme="minorHAnsi" w:hAnsiTheme="minorHAnsi" w:cs="Times New Roman"/>
                <w:color w:val="auto"/>
              </w:rPr>
            </w:pPr>
            <w:r w:rsidRPr="00000FBA">
              <w:rPr>
                <w:rFonts w:asciiTheme="minorHAnsi" w:hAnsiTheme="minorHAnsi" w:cs="Times New Roman"/>
                <w:color w:val="auto"/>
              </w:rPr>
              <w:t>Towards disaster-risk sensitive investments: The Disaster Risk-Integrated Operational Risk Model</w:t>
            </w:r>
          </w:p>
          <w:p w14:paraId="684017B1" w14:textId="77777777" w:rsidR="00E15044" w:rsidRPr="00000FBA" w:rsidRDefault="0070299E" w:rsidP="00E15044">
            <w:pPr>
              <w:pStyle w:val="Normal1"/>
              <w:ind w:left="720" w:firstLine="0"/>
              <w:jc w:val="both"/>
              <w:rPr>
                <w:rFonts w:asciiTheme="minorHAnsi" w:hAnsiTheme="minorHAnsi" w:cs="Times New Roman"/>
                <w:color w:val="auto"/>
              </w:rPr>
            </w:pPr>
            <w:hyperlink r:id="rId9" w:history="1">
              <w:r w:rsidR="00E15044" w:rsidRPr="00000FBA">
                <w:rPr>
                  <w:rStyle w:val="Hipervnculo"/>
                  <w:rFonts w:asciiTheme="minorHAnsi" w:hAnsiTheme="minorHAnsi" w:cs="Times New Roman"/>
                </w:rPr>
                <w:t>https://www.unisdr.org/files/51068_eiutowardsdisasterrisksensitiveinve.pdf</w:t>
              </w:r>
            </w:hyperlink>
          </w:p>
          <w:p w14:paraId="7DD9D968" w14:textId="77777777" w:rsidR="00E15044" w:rsidRPr="00000FBA" w:rsidRDefault="00E15044" w:rsidP="00E15044">
            <w:pPr>
              <w:pStyle w:val="Normal1"/>
              <w:numPr>
                <w:ilvl w:val="0"/>
                <w:numId w:val="18"/>
              </w:numPr>
              <w:jc w:val="both"/>
              <w:rPr>
                <w:rFonts w:asciiTheme="minorHAnsi" w:hAnsiTheme="minorHAnsi"/>
              </w:rPr>
            </w:pPr>
            <w:r w:rsidRPr="00000FBA">
              <w:rPr>
                <w:rFonts w:asciiTheme="minorHAnsi" w:hAnsiTheme="minorHAnsi"/>
              </w:rPr>
              <w:t>Guidance to Banking Sector-Implementing TCFD</w:t>
            </w:r>
          </w:p>
          <w:p w14:paraId="29767181" w14:textId="77777777" w:rsidR="00E15044" w:rsidRPr="00000FBA" w:rsidRDefault="0070299E" w:rsidP="00E15044">
            <w:pPr>
              <w:pStyle w:val="Normal1"/>
              <w:ind w:left="720" w:firstLine="0"/>
              <w:jc w:val="both"/>
              <w:rPr>
                <w:rFonts w:asciiTheme="minorHAnsi" w:hAnsiTheme="minorHAnsi"/>
              </w:rPr>
            </w:pPr>
            <w:hyperlink r:id="rId10" w:history="1">
              <w:r w:rsidR="00E15044" w:rsidRPr="00000FBA">
                <w:rPr>
                  <w:rStyle w:val="Hipervnculo"/>
                  <w:rFonts w:asciiTheme="minorHAnsi" w:hAnsiTheme="minorHAnsi" w:cstheme="majorHAnsi"/>
                </w:rPr>
                <w:t>http://www.unepfi.org/news/industries/banking/tcfd-recommendations/</w:t>
              </w:r>
            </w:hyperlink>
          </w:p>
          <w:p w14:paraId="3FED2C1E" w14:textId="77777777" w:rsidR="00E15044" w:rsidRPr="00000FBA" w:rsidRDefault="00E15044" w:rsidP="00E15044">
            <w:pPr>
              <w:pStyle w:val="Normal1"/>
              <w:numPr>
                <w:ilvl w:val="0"/>
                <w:numId w:val="18"/>
              </w:numPr>
              <w:jc w:val="both"/>
              <w:rPr>
                <w:rFonts w:asciiTheme="minorHAnsi" w:hAnsiTheme="minorHAnsi"/>
              </w:rPr>
            </w:pPr>
            <w:r w:rsidRPr="00000FBA">
              <w:rPr>
                <w:rFonts w:asciiTheme="minorHAnsi" w:hAnsiTheme="minorHAnsi"/>
              </w:rPr>
              <w:t xml:space="preserve">Canada infrastructure plan over 12 </w:t>
            </w:r>
            <w:proofErr w:type="gramStart"/>
            <w:r w:rsidRPr="00000FBA">
              <w:rPr>
                <w:rFonts w:asciiTheme="minorHAnsi" w:hAnsiTheme="minorHAnsi"/>
              </w:rPr>
              <w:t>years :</w:t>
            </w:r>
            <w:proofErr w:type="gramEnd"/>
            <w:r w:rsidRPr="00000FBA">
              <w:rPr>
                <w:rFonts w:asciiTheme="minorHAnsi" w:hAnsiTheme="minorHAnsi"/>
              </w:rPr>
              <w:t xml:space="preserve"> examples of disaster risk mitigation and climate change adaptation inclusive of the whole society</w:t>
            </w:r>
          </w:p>
          <w:p w14:paraId="08C254F7" w14:textId="77777777" w:rsidR="00E15044" w:rsidRPr="00000FBA" w:rsidRDefault="0070299E" w:rsidP="00E15044">
            <w:pPr>
              <w:pStyle w:val="Normal1"/>
              <w:ind w:left="720" w:firstLine="0"/>
              <w:jc w:val="both"/>
              <w:rPr>
                <w:rFonts w:asciiTheme="minorHAnsi" w:hAnsiTheme="minorHAnsi"/>
              </w:rPr>
            </w:pPr>
            <w:hyperlink r:id="rId11" w:history="1">
              <w:r w:rsidR="00E15044" w:rsidRPr="00000FBA">
                <w:rPr>
                  <w:rStyle w:val="Hipervnculo"/>
                  <w:rFonts w:asciiTheme="minorHAnsi" w:hAnsiTheme="minorHAnsi"/>
                </w:rPr>
                <w:t>http://www.infrastructure.gc.ca/plan/about-invest-apropos-eng.html</w:t>
              </w:r>
            </w:hyperlink>
          </w:p>
          <w:p w14:paraId="224247F2" w14:textId="77777777" w:rsidR="00E15044" w:rsidRPr="00000FBA" w:rsidRDefault="0070299E" w:rsidP="00E15044">
            <w:pPr>
              <w:pStyle w:val="Normal1"/>
              <w:ind w:left="720" w:firstLine="0"/>
              <w:jc w:val="both"/>
              <w:rPr>
                <w:rFonts w:asciiTheme="minorHAnsi" w:hAnsiTheme="minorHAnsi"/>
              </w:rPr>
            </w:pPr>
            <w:hyperlink r:id="rId12" w:history="1">
              <w:r w:rsidR="00E15044" w:rsidRPr="00000FBA">
                <w:rPr>
                  <w:rStyle w:val="Hipervnculo"/>
                  <w:rFonts w:asciiTheme="minorHAnsi" w:hAnsiTheme="minorHAnsi"/>
                </w:rPr>
                <w:t>http://www.infrastructure.gc.ca/alt-format/pdf/plan/2018-04-16-ICP-PIC-english-flat.pdf</w:t>
              </w:r>
            </w:hyperlink>
          </w:p>
          <w:p w14:paraId="63CEDBF0" w14:textId="77777777" w:rsidR="00E15044" w:rsidRPr="00000FBA" w:rsidRDefault="00E15044" w:rsidP="00E15044">
            <w:pPr>
              <w:pStyle w:val="Normal1"/>
              <w:numPr>
                <w:ilvl w:val="0"/>
                <w:numId w:val="18"/>
              </w:numPr>
              <w:jc w:val="both"/>
              <w:rPr>
                <w:rFonts w:asciiTheme="minorHAnsi" w:hAnsiTheme="minorHAnsi" w:cs="Times New Roman"/>
                <w:color w:val="auto"/>
              </w:rPr>
            </w:pPr>
            <w:r w:rsidRPr="00000FBA">
              <w:rPr>
                <w:rFonts w:asciiTheme="minorHAnsi" w:hAnsiTheme="minorHAnsi" w:cs="Times New Roman"/>
                <w:color w:val="auto"/>
              </w:rPr>
              <w:t>Commission action plan on financing sustainable growth.</w:t>
            </w:r>
          </w:p>
          <w:p w14:paraId="11D87BE7" w14:textId="77777777" w:rsidR="00E15044" w:rsidRPr="00000FBA" w:rsidRDefault="00E15044" w:rsidP="00E15044">
            <w:pPr>
              <w:pStyle w:val="Normal1"/>
              <w:ind w:left="713" w:hanging="353"/>
              <w:jc w:val="both"/>
              <w:rPr>
                <w:rFonts w:asciiTheme="minorHAnsi" w:hAnsiTheme="minorHAnsi" w:cs="Times New Roman"/>
                <w:color w:val="auto"/>
                <w:lang w:val="fr-CH"/>
              </w:rPr>
            </w:pPr>
            <w:r w:rsidRPr="00000FBA">
              <w:rPr>
                <w:rFonts w:asciiTheme="minorHAnsi" w:hAnsiTheme="minorHAnsi"/>
              </w:rPr>
              <w:t xml:space="preserve">       </w:t>
            </w:r>
            <w:hyperlink r:id="rId13" w:history="1">
              <w:r w:rsidRPr="00000FBA">
                <w:rPr>
                  <w:rStyle w:val="Hipervnculo"/>
                  <w:rFonts w:asciiTheme="minorHAnsi" w:hAnsiTheme="minorHAnsi"/>
                  <w:lang w:val="fr-CH"/>
                </w:rPr>
                <w:t>https://eur-lex.europa.eu/legal-     content/EN/TXT/PDF/?uri=CELEX:52018DC0097&amp;from=EN</w:t>
              </w:r>
            </w:hyperlink>
          </w:p>
          <w:p w14:paraId="39160E1B" w14:textId="77777777" w:rsidR="00E15044" w:rsidRPr="00000FBA" w:rsidRDefault="00E15044" w:rsidP="00E15044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000FBA">
              <w:rPr>
                <w:rFonts w:asciiTheme="minorHAnsi" w:hAnsiTheme="minorHAnsi"/>
                <w:sz w:val="22"/>
                <w:szCs w:val="22"/>
              </w:rPr>
              <w:t xml:space="preserve">Commission Communication: Reinforcing integrated supervision to strengthen Capital Markets Union and financial integration in a changing environment </w:t>
            </w:r>
            <w:hyperlink r:id="rId14" w:history="1">
              <w:r w:rsidRPr="00000FBA">
                <w:rPr>
                  <w:rStyle w:val="Hipervnculo"/>
                  <w:rFonts w:asciiTheme="minorHAnsi" w:hAnsiTheme="minorHAnsi"/>
                  <w:sz w:val="22"/>
                  <w:szCs w:val="22"/>
                </w:rPr>
                <w:t>http://ec.europa.eu/finance/docs/law/170920-communication-esas_en.pdf</w:t>
              </w:r>
            </w:hyperlink>
            <w:r w:rsidRPr="00000FB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E27FCB3" w14:textId="12596B1E" w:rsidR="00E15044" w:rsidRPr="00000FBA" w:rsidRDefault="00E15044" w:rsidP="00E15044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000FBA">
              <w:rPr>
                <w:rFonts w:asciiTheme="minorHAnsi" w:hAnsiTheme="minorHAnsi"/>
                <w:sz w:val="22"/>
                <w:szCs w:val="22"/>
              </w:rPr>
              <w:t>Insuring Natu</w:t>
            </w:r>
            <w:r w:rsidR="003157A2">
              <w:rPr>
                <w:rFonts w:asciiTheme="minorHAnsi" w:hAnsiTheme="minorHAnsi"/>
                <w:sz w:val="22"/>
                <w:szCs w:val="22"/>
              </w:rPr>
              <w:t>re to Ensure a Resilient Future</w:t>
            </w:r>
            <w:r w:rsidRPr="00000FBA">
              <w:rPr>
                <w:rFonts w:asciiTheme="minorHAnsi" w:hAnsiTheme="minorHAnsi"/>
                <w:sz w:val="22"/>
                <w:szCs w:val="22"/>
              </w:rPr>
              <w:t xml:space="preserve">: Can a new fund in Mexico create a first-ever insurance policy on </w:t>
            </w:r>
            <w:proofErr w:type="gramStart"/>
            <w:r w:rsidRPr="00000FBA">
              <w:rPr>
                <w:rFonts w:asciiTheme="minorHAnsi" w:hAnsiTheme="minorHAnsi"/>
                <w:sz w:val="22"/>
                <w:szCs w:val="22"/>
              </w:rPr>
              <w:t>nature?.</w:t>
            </w:r>
            <w:proofErr w:type="gramEnd"/>
            <w:r w:rsidRPr="00000F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15" w:history="1">
              <w:r w:rsidRPr="00000FBA">
                <w:rPr>
                  <w:rStyle w:val="Hipervnculo"/>
                  <w:rFonts w:asciiTheme="minorHAnsi" w:hAnsiTheme="minorHAnsi"/>
                  <w:sz w:val="22"/>
                  <w:szCs w:val="22"/>
                </w:rPr>
                <w:t>https://global.nature.org/content/insuring-nature-to-ensure-a-resilient-future</w:t>
              </w:r>
            </w:hyperlink>
            <w:r w:rsidRPr="00000FBA">
              <w:rPr>
                <w:rFonts w:asciiTheme="minorHAnsi" w:hAnsiTheme="minorHAnsi"/>
                <w:sz w:val="22"/>
                <w:szCs w:val="22"/>
              </w:rPr>
              <w:t> </w:t>
            </w:r>
          </w:p>
          <w:p w14:paraId="7F161F2A" w14:textId="77777777" w:rsidR="00E15044" w:rsidRPr="00CE1DB6" w:rsidRDefault="00E15044" w:rsidP="00E15044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CE1DB6">
              <w:rPr>
                <w:rFonts w:asciiTheme="minorHAnsi" w:hAnsiTheme="minorHAnsi"/>
                <w:sz w:val="22"/>
                <w:szCs w:val="22"/>
              </w:rPr>
              <w:t>Resilience, the ultimate sustainability: lessons from failing to develop a stronger and safer built environment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hyperlink r:id="rId16" w:history="1">
              <w:r w:rsidRPr="00CE1DB6">
                <w:rPr>
                  <w:rStyle w:val="Hipervnculo"/>
                  <w:rFonts w:asciiTheme="minorHAnsi" w:hAnsiTheme="minorHAnsi"/>
                  <w:sz w:val="22"/>
                  <w:szCs w:val="22"/>
                </w:rPr>
                <w:t>https://www.preventionweb.net/publications/view/42406</w:t>
              </w:r>
            </w:hyperlink>
          </w:p>
          <w:p w14:paraId="0EB67AAF" w14:textId="77777777" w:rsidR="00E15044" w:rsidRPr="00CE1DB6" w:rsidRDefault="00E15044" w:rsidP="00E15044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CE1DB6">
              <w:rPr>
                <w:rFonts w:asciiTheme="minorHAnsi" w:hAnsiTheme="minorHAnsi"/>
                <w:sz w:val="22"/>
                <w:szCs w:val="22"/>
              </w:rPr>
              <w:t>Is your home built to last?</w:t>
            </w:r>
            <w:r>
              <w:t xml:space="preserve"> </w:t>
            </w:r>
            <w:r w:rsidRPr="00CE1DB6">
              <w:rPr>
                <w:rFonts w:asciiTheme="minorHAnsi" w:hAnsiTheme="minorHAnsi"/>
                <w:sz w:val="22"/>
                <w:szCs w:val="22"/>
              </w:rPr>
              <w:t>https://www.unisdr.org/archive/58997</w:t>
            </w:r>
          </w:p>
          <w:p w14:paraId="098D38C2" w14:textId="77777777" w:rsidR="00E15044" w:rsidRPr="00000FBA" w:rsidRDefault="00E15044" w:rsidP="00E15044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000FBA">
              <w:rPr>
                <w:rFonts w:asciiTheme="minorHAnsi" w:hAnsiTheme="minorHAnsi"/>
                <w:sz w:val="22"/>
                <w:szCs w:val="22"/>
              </w:rPr>
              <w:t xml:space="preserve">Environmental impact bonds can help make coastal communities safer. </w:t>
            </w:r>
            <w:hyperlink r:id="rId17" w:history="1">
              <w:r w:rsidRPr="00000FBA">
                <w:rPr>
                  <w:rStyle w:val="Hipervnculo"/>
                  <w:rFonts w:asciiTheme="minorHAnsi" w:hAnsiTheme="minorHAnsi"/>
                  <w:sz w:val="22"/>
                  <w:szCs w:val="22"/>
                </w:rPr>
                <w:t>http://blogs.edf.org/growingreturns/2018/08/14/environmental-impact-bond-coastal-communities/</w:t>
              </w:r>
            </w:hyperlink>
          </w:p>
          <w:p w14:paraId="09C73243" w14:textId="39B9CDBE" w:rsidR="00E15044" w:rsidRPr="00000FBA" w:rsidRDefault="003157A2" w:rsidP="00E15044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 the TDF initiative</w:t>
            </w:r>
            <w:r w:rsidR="00E15044" w:rsidRPr="00000FB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39DFE844" w14:textId="77777777" w:rsidR="00E15044" w:rsidRPr="00000FBA" w:rsidRDefault="00E15044" w:rsidP="00E15044">
            <w:pPr>
              <w:pStyle w:val="Prrafodelista"/>
              <w:rPr>
                <w:rStyle w:val="Hipervnculo"/>
                <w:rFonts w:asciiTheme="minorHAnsi" w:hAnsiTheme="minorHAnsi"/>
                <w:sz w:val="22"/>
                <w:szCs w:val="22"/>
              </w:rPr>
            </w:pPr>
            <w:r w:rsidRPr="00000FBA">
              <w:rPr>
                <w:rStyle w:val="Hipervnculo"/>
                <w:rFonts w:asciiTheme="minorHAnsi" w:hAnsiTheme="minorHAnsi"/>
                <w:sz w:val="22"/>
                <w:szCs w:val="22"/>
              </w:rPr>
              <w:t>https://www.unenvironment.org/news-and-stories/press-release/16-banks-and-united-nations-produce-first-guidance-help-banking</w:t>
            </w:r>
          </w:p>
          <w:p w14:paraId="5DDE4DD2" w14:textId="77777777" w:rsidR="00E15044" w:rsidRPr="00000FBA" w:rsidRDefault="0070299E" w:rsidP="00E15044">
            <w:pPr>
              <w:pStyle w:val="Prrafodelista"/>
              <w:rPr>
                <w:rStyle w:val="Hipervnculo"/>
                <w:rFonts w:asciiTheme="minorHAnsi" w:hAnsiTheme="minorHAnsi"/>
                <w:sz w:val="22"/>
                <w:szCs w:val="22"/>
              </w:rPr>
            </w:pPr>
            <w:hyperlink r:id="rId18" w:history="1">
              <w:r w:rsidR="00E15044" w:rsidRPr="00000FBA">
                <w:rPr>
                  <w:rStyle w:val="Hipervnculo"/>
                  <w:rFonts w:asciiTheme="minorHAnsi" w:hAnsiTheme="minorHAnsi"/>
                  <w:sz w:val="22"/>
                  <w:szCs w:val="22"/>
                </w:rPr>
                <w:t>http://www.unepfi.org/news/industries/banking/tcfd-recommendations/</w:t>
              </w:r>
            </w:hyperlink>
          </w:p>
          <w:p w14:paraId="345C5851" w14:textId="77777777" w:rsidR="00E15044" w:rsidRPr="00000FBA" w:rsidRDefault="00E15044" w:rsidP="00E15044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000FBA">
              <w:rPr>
                <w:rFonts w:asciiTheme="minorHAnsi" w:hAnsiTheme="minorHAnsi"/>
                <w:sz w:val="22"/>
                <w:szCs w:val="22"/>
              </w:rPr>
              <w:t>Innovative finance for resilient infrastructure - Lloyd's of London</w:t>
            </w:r>
          </w:p>
          <w:p w14:paraId="55B4EBE6" w14:textId="77777777" w:rsidR="00E15044" w:rsidRPr="00000FBA" w:rsidRDefault="0070299E" w:rsidP="00E15044">
            <w:pPr>
              <w:pStyle w:val="Prrafodelista"/>
              <w:rPr>
                <w:rStyle w:val="Hipervnculo"/>
                <w:rFonts w:asciiTheme="minorHAnsi" w:hAnsiTheme="minorHAnsi"/>
                <w:sz w:val="22"/>
                <w:szCs w:val="22"/>
              </w:rPr>
            </w:pPr>
            <w:hyperlink r:id="rId19" w:history="1">
              <w:r w:rsidR="00E15044" w:rsidRPr="00000FBA">
                <w:rPr>
                  <w:rStyle w:val="Hipervnculo"/>
                  <w:rFonts w:asciiTheme="minorHAnsi" w:hAnsiTheme="minorHAnsi"/>
                  <w:sz w:val="22"/>
                  <w:szCs w:val="22"/>
                </w:rPr>
                <w:t>https://www.lloyds.com/~/media/files/news-and-insight/risk-insight/2018/innovative-finance-for-resilient-infrastructure.pdf</w:t>
              </w:r>
            </w:hyperlink>
          </w:p>
          <w:p w14:paraId="2D3EC8AC" w14:textId="4984B7FD" w:rsidR="0040188D" w:rsidRPr="00546F59" w:rsidRDefault="00E15044" w:rsidP="00546F59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000FBA">
              <w:rPr>
                <w:rFonts w:asciiTheme="minorHAnsi" w:hAnsiTheme="minorHAnsi"/>
                <w:sz w:val="22"/>
                <w:szCs w:val="22"/>
              </w:rPr>
              <w:t>Staying a Step Ahead of a Natural Disaster: Can Innovation and Technology Help?</w:t>
            </w:r>
          </w:p>
          <w:p w14:paraId="475ED1BA" w14:textId="77777777" w:rsidR="00E15044" w:rsidRPr="00000FBA" w:rsidRDefault="0070299E" w:rsidP="00E15044">
            <w:pPr>
              <w:pStyle w:val="Prrafodelista"/>
              <w:rPr>
                <w:rStyle w:val="Hipervnculo"/>
                <w:rFonts w:asciiTheme="minorHAnsi" w:hAnsiTheme="minorHAnsi"/>
                <w:sz w:val="22"/>
                <w:szCs w:val="22"/>
              </w:rPr>
            </w:pPr>
            <w:hyperlink r:id="rId20" w:history="1">
              <w:r w:rsidR="00E15044" w:rsidRPr="00000FBA">
                <w:rPr>
                  <w:rStyle w:val="Hipervnculo"/>
                  <w:rFonts w:asciiTheme="minorHAnsi" w:hAnsiTheme="minorHAnsi"/>
                  <w:sz w:val="22"/>
                  <w:szCs w:val="22"/>
                </w:rPr>
                <w:t>https://www.gfdrr.org/sites/default/files/publication/Riskier%20Future.pdf</w:t>
              </w:r>
            </w:hyperlink>
          </w:p>
          <w:p w14:paraId="1BA0A776" w14:textId="77777777" w:rsidR="00E15044" w:rsidRPr="00000FBA" w:rsidRDefault="00E15044" w:rsidP="00E15044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000FBA">
              <w:rPr>
                <w:rFonts w:asciiTheme="minorHAnsi" w:hAnsiTheme="minorHAnsi"/>
                <w:sz w:val="22"/>
                <w:szCs w:val="22"/>
              </w:rPr>
              <w:t>Financing disaster risk reduction for sustainable development in Asia and the Pacific</w:t>
            </w:r>
          </w:p>
          <w:p w14:paraId="7D451A01" w14:textId="77777777" w:rsidR="00E15044" w:rsidRPr="00000FBA" w:rsidRDefault="0070299E" w:rsidP="00E15044">
            <w:pPr>
              <w:pStyle w:val="Prrafodelista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E15044" w:rsidRPr="00000FBA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https://www.unescap.org/sites/default/files/ESCAP_Financing_DRR_2015.pdf</w:t>
              </w:r>
            </w:hyperlink>
          </w:p>
          <w:p w14:paraId="25383C4A" w14:textId="572EEF99" w:rsidR="00512140" w:rsidRPr="00546F59" w:rsidRDefault="00E15044" w:rsidP="00546F59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r w:rsidRPr="00000FBA">
              <w:rPr>
                <w:rStyle w:val="Hipervnculo"/>
                <w:rFonts w:asciiTheme="minorHAnsi" w:hAnsiTheme="minorHAnsi"/>
                <w:sz w:val="22"/>
                <w:szCs w:val="22"/>
              </w:rPr>
              <w:t>I. Feldman, K. Schultz &amp; T. Baumann, “</w:t>
            </w:r>
            <w:r w:rsidRPr="00000FBA">
              <w:rPr>
                <w:rFonts w:asciiTheme="minorHAnsi" w:hAnsiTheme="minorHAnsi" w:cs="Calibri"/>
                <w:bCs/>
                <w:sz w:val="22"/>
                <w:szCs w:val="22"/>
              </w:rPr>
              <w:t>Introducing Adaptation Ledger:</w:t>
            </w:r>
            <w:r w:rsidRPr="00000FBA">
              <w:rPr>
                <w:rFonts w:asciiTheme="minorHAnsi" w:hAnsiTheme="minorHAnsi" w:cs="Calibri"/>
                <w:bCs/>
                <w:sz w:val="22"/>
                <w:szCs w:val="22"/>
              </w:rPr>
              <w:br/>
              <w:t>Advancing Climate Adaptation Solutions and Mobilizing Finance Via Integration of Blockchain, Smart Standards and a Unified Metric for Vulnerability Reduction, “ (2018)</w:t>
            </w:r>
            <w:r w:rsidRPr="00000FBA">
              <w:rPr>
                <w:rStyle w:val="Hipervnculo"/>
                <w:rFonts w:asciiTheme="minorHAnsi" w:hAnsiTheme="minorHAnsi"/>
                <w:sz w:val="22"/>
                <w:szCs w:val="22"/>
              </w:rPr>
              <w:t xml:space="preserve"> available at: </w:t>
            </w:r>
            <w:hyperlink r:id="rId22" w:history="1">
              <w:r w:rsidRPr="00000FBA">
                <w:rPr>
                  <w:rStyle w:val="Hipervnculo"/>
                  <w:rFonts w:asciiTheme="minorHAnsi" w:hAnsiTheme="minorHAnsi"/>
                  <w:sz w:val="22"/>
                  <w:szCs w:val="22"/>
                </w:rPr>
                <w:t>https://docs.wixstatic.com/ugd/621230_2badf731167c4ad0bbb9864972d617d1.pdf</w:t>
              </w:r>
            </w:hyperlink>
            <w:r w:rsidRPr="00000FBA">
              <w:rPr>
                <w:rStyle w:val="Hipervnculo"/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26499" w:rsidRPr="00B3118E" w14:paraId="12555A68" w14:textId="77777777" w:rsidTr="00546F59">
        <w:tc>
          <w:tcPr>
            <w:tcW w:w="1980" w:type="dxa"/>
          </w:tcPr>
          <w:p w14:paraId="7FAC10DF" w14:textId="7EA389B7" w:rsidR="00526499" w:rsidRPr="00B3118E" w:rsidRDefault="00526499" w:rsidP="00FD7302">
            <w:pPr>
              <w:spacing w:before="60" w:after="60" w:line="252" w:lineRule="auto"/>
              <w:rPr>
                <w:b/>
                <w:bCs/>
                <w:sz w:val="24"/>
                <w:szCs w:val="24"/>
              </w:rPr>
            </w:pPr>
            <w:r w:rsidRPr="00B3118E">
              <w:rPr>
                <w:rFonts w:cs="Calibri"/>
                <w:b/>
                <w:bCs/>
                <w:sz w:val="24"/>
                <w:szCs w:val="24"/>
              </w:rPr>
              <w:lastRenderedPageBreak/>
              <w:t xml:space="preserve">Technical </w:t>
            </w:r>
            <w:r w:rsidR="00307696" w:rsidRPr="00B3118E">
              <w:rPr>
                <w:rFonts w:cs="Calibri"/>
                <w:b/>
                <w:bCs/>
                <w:sz w:val="24"/>
                <w:szCs w:val="24"/>
              </w:rPr>
              <w:t>equipment requirements</w:t>
            </w:r>
          </w:p>
        </w:tc>
        <w:tc>
          <w:tcPr>
            <w:tcW w:w="7848" w:type="dxa"/>
          </w:tcPr>
          <w:p w14:paraId="70E2CF70" w14:textId="725376D4" w:rsidR="00D853B6" w:rsidRPr="00D853B6" w:rsidRDefault="00D853B6" w:rsidP="00D853B6">
            <w:pPr>
              <w:rPr>
                <w:rFonts w:eastAsia="Calibri" w:cstheme="minorHAnsi"/>
              </w:rPr>
            </w:pPr>
            <w:r w:rsidRPr="00D853B6">
              <w:rPr>
                <w:rFonts w:eastAsia="Calibri" w:cstheme="minorHAnsi"/>
              </w:rPr>
              <w:t xml:space="preserve">The session will require technical equipment to support ppt </w:t>
            </w:r>
            <w:r>
              <w:rPr>
                <w:rFonts w:eastAsia="Calibri" w:cstheme="minorHAnsi"/>
              </w:rPr>
              <w:t xml:space="preserve">or video </w:t>
            </w:r>
            <w:r w:rsidRPr="00D853B6">
              <w:rPr>
                <w:rFonts w:eastAsia="Calibri" w:cstheme="minorHAnsi"/>
              </w:rPr>
              <w:t>presentations.</w:t>
            </w:r>
          </w:p>
          <w:p w14:paraId="07102B2F" w14:textId="3F80172C" w:rsidR="00526499" w:rsidRPr="00B3118E" w:rsidRDefault="00D853B6" w:rsidP="00D853B6">
            <w:pPr>
              <w:spacing w:before="60" w:after="60" w:line="252" w:lineRule="auto"/>
              <w:rPr>
                <w:sz w:val="24"/>
                <w:szCs w:val="24"/>
              </w:rPr>
            </w:pPr>
            <w:r w:rsidRPr="00C008F2">
              <w:rPr>
                <w:rFonts w:eastAsia="Calibri" w:cstheme="minorHAnsi"/>
              </w:rPr>
              <w:t>The session will aim construct a way for attendees to immediately and electronically weigh in and identify themselves as wanting to connect</w:t>
            </w:r>
            <w:r>
              <w:rPr>
                <w:rFonts w:eastAsia="Calibri" w:cstheme="minorHAnsi"/>
              </w:rPr>
              <w:t xml:space="preserve"> with the session round of questions</w:t>
            </w:r>
            <w:r w:rsidRPr="00C008F2">
              <w:rPr>
                <w:rFonts w:eastAsia="Calibri" w:cstheme="minorHAnsi"/>
              </w:rPr>
              <w:t>.</w:t>
            </w:r>
          </w:p>
        </w:tc>
      </w:tr>
    </w:tbl>
    <w:p w14:paraId="3691BA2D" w14:textId="1A4075E6" w:rsidR="00A05E59" w:rsidRPr="00B3118E" w:rsidRDefault="00A05E59">
      <w:pPr>
        <w:rPr>
          <w:sz w:val="24"/>
          <w:szCs w:val="24"/>
        </w:rPr>
      </w:pPr>
    </w:p>
    <w:sectPr w:rsidR="00A05E59" w:rsidRPr="00B3118E" w:rsidSect="00E35050">
      <w:footerReference w:type="defaul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A9525" w14:textId="77777777" w:rsidR="0070299E" w:rsidRDefault="0070299E" w:rsidP="00DB394C">
      <w:pPr>
        <w:spacing w:after="0" w:line="240" w:lineRule="auto"/>
      </w:pPr>
      <w:r>
        <w:separator/>
      </w:r>
    </w:p>
  </w:endnote>
  <w:endnote w:type="continuationSeparator" w:id="0">
    <w:p w14:paraId="228EC454" w14:textId="77777777" w:rsidR="0070299E" w:rsidRDefault="0070299E" w:rsidP="00DB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 ExtraLight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133292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AE772" w14:textId="537C7706" w:rsidR="00DE11FF" w:rsidRPr="00E35050" w:rsidRDefault="00DE11FF">
        <w:pPr>
          <w:pStyle w:val="Piedepgina"/>
          <w:jc w:val="right"/>
          <w:rPr>
            <w:sz w:val="16"/>
            <w:szCs w:val="16"/>
          </w:rPr>
        </w:pPr>
        <w:r w:rsidRPr="00E35050">
          <w:rPr>
            <w:sz w:val="16"/>
            <w:szCs w:val="16"/>
          </w:rPr>
          <w:fldChar w:fldCharType="begin"/>
        </w:r>
        <w:r w:rsidRPr="00E35050">
          <w:rPr>
            <w:sz w:val="16"/>
            <w:szCs w:val="16"/>
          </w:rPr>
          <w:instrText xml:space="preserve"> PAGE   \* MERGEFORMAT </w:instrText>
        </w:r>
        <w:r w:rsidRPr="00E35050">
          <w:rPr>
            <w:sz w:val="16"/>
            <w:szCs w:val="16"/>
          </w:rPr>
          <w:fldChar w:fldCharType="separate"/>
        </w:r>
        <w:r w:rsidR="000055A8">
          <w:rPr>
            <w:noProof/>
            <w:sz w:val="16"/>
            <w:szCs w:val="16"/>
          </w:rPr>
          <w:t>5</w:t>
        </w:r>
        <w:r w:rsidRPr="00E35050">
          <w:rPr>
            <w:noProof/>
            <w:sz w:val="16"/>
            <w:szCs w:val="16"/>
          </w:rPr>
          <w:fldChar w:fldCharType="end"/>
        </w:r>
      </w:p>
    </w:sdtContent>
  </w:sdt>
  <w:p w14:paraId="7F5DB982" w14:textId="77777777" w:rsidR="00DE11FF" w:rsidRDefault="00DE11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AA20C" w14:textId="77777777" w:rsidR="0070299E" w:rsidRDefault="0070299E" w:rsidP="00DB394C">
      <w:pPr>
        <w:spacing w:after="0" w:line="240" w:lineRule="auto"/>
      </w:pPr>
      <w:r>
        <w:separator/>
      </w:r>
    </w:p>
  </w:footnote>
  <w:footnote w:type="continuationSeparator" w:id="0">
    <w:p w14:paraId="251975AF" w14:textId="77777777" w:rsidR="0070299E" w:rsidRDefault="0070299E" w:rsidP="00DB394C">
      <w:pPr>
        <w:spacing w:after="0" w:line="240" w:lineRule="auto"/>
      </w:pPr>
      <w:r>
        <w:continuationSeparator/>
      </w:r>
    </w:p>
  </w:footnote>
  <w:footnote w:id="1">
    <w:p w14:paraId="1325AC48" w14:textId="6695F502" w:rsidR="00063BC3" w:rsidRPr="00063BC3" w:rsidRDefault="00063BC3" w:rsidP="00152B16">
      <w:pPr>
        <w:pStyle w:val="Textonotapie"/>
        <w:ind w:right="-421"/>
      </w:pPr>
      <w:r>
        <w:rPr>
          <w:rStyle w:val="Refdenotaalpie"/>
        </w:rPr>
        <w:footnoteRef/>
      </w:r>
      <w:r>
        <w:t xml:space="preserve"> </w:t>
      </w:r>
      <w:r w:rsidRPr="00063BC3">
        <w:t xml:space="preserve">Pricing of risks refers to the </w:t>
      </w:r>
      <w:r w:rsidR="006D573F" w:rsidRPr="006D573F">
        <w:t>process</w:t>
      </w:r>
      <w:r w:rsidR="00741B9E" w:rsidRPr="0085647D">
        <w:t xml:space="preserve"> </w:t>
      </w:r>
      <w:r w:rsidR="003F2067" w:rsidRPr="0085647D">
        <w:t>of identifying</w:t>
      </w:r>
      <w:r w:rsidR="00741B9E" w:rsidRPr="0085647D">
        <w:t>, quan</w:t>
      </w:r>
      <w:r w:rsidR="00677CAE">
        <w:t>ti</w:t>
      </w:r>
      <w:r w:rsidR="00741B9E" w:rsidRPr="0085647D">
        <w:t xml:space="preserve">fying and integrating disaster risks considerations when </w:t>
      </w:r>
      <w:r w:rsidR="00736859" w:rsidRPr="0085647D">
        <w:t>planning or</w:t>
      </w:r>
      <w:r w:rsidR="00741B9E" w:rsidRPr="0085647D">
        <w:t xml:space="preserve"> evaluating investments.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9B6"/>
    <w:multiLevelType w:val="hybridMultilevel"/>
    <w:tmpl w:val="AD901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F51"/>
    <w:multiLevelType w:val="hybridMultilevel"/>
    <w:tmpl w:val="0C22F3BC"/>
    <w:lvl w:ilvl="0" w:tplc="141279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94015"/>
    <w:multiLevelType w:val="hybridMultilevel"/>
    <w:tmpl w:val="3CC2272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1451"/>
    <w:multiLevelType w:val="hybridMultilevel"/>
    <w:tmpl w:val="19A88C3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43802"/>
    <w:multiLevelType w:val="multilevel"/>
    <w:tmpl w:val="EB18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16066"/>
    <w:multiLevelType w:val="hybridMultilevel"/>
    <w:tmpl w:val="F2787C2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D7415"/>
    <w:multiLevelType w:val="hybridMultilevel"/>
    <w:tmpl w:val="0636A0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E2E1F"/>
    <w:multiLevelType w:val="hybridMultilevel"/>
    <w:tmpl w:val="0892328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01592"/>
    <w:multiLevelType w:val="hybridMultilevel"/>
    <w:tmpl w:val="191A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2D08AF"/>
    <w:multiLevelType w:val="hybridMultilevel"/>
    <w:tmpl w:val="88468B2A"/>
    <w:lvl w:ilvl="0" w:tplc="D8FC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6622BA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D2A64A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52BC8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2CA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0E7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F07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C3B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E8DA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45F23"/>
    <w:multiLevelType w:val="hybridMultilevel"/>
    <w:tmpl w:val="F804553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54483"/>
    <w:multiLevelType w:val="hybridMultilevel"/>
    <w:tmpl w:val="1ACA18F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F39A1"/>
    <w:multiLevelType w:val="hybridMultilevel"/>
    <w:tmpl w:val="B232A956"/>
    <w:lvl w:ilvl="0" w:tplc="E00EF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C35DD"/>
    <w:multiLevelType w:val="hybridMultilevel"/>
    <w:tmpl w:val="EB1AD9E8"/>
    <w:lvl w:ilvl="0" w:tplc="1E38C0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96E80"/>
    <w:multiLevelType w:val="hybridMultilevel"/>
    <w:tmpl w:val="CC0E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66487"/>
    <w:multiLevelType w:val="hybridMultilevel"/>
    <w:tmpl w:val="0C22F3BC"/>
    <w:lvl w:ilvl="0" w:tplc="141279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D7DED"/>
    <w:multiLevelType w:val="hybridMultilevel"/>
    <w:tmpl w:val="749E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E2872"/>
    <w:multiLevelType w:val="hybridMultilevel"/>
    <w:tmpl w:val="BC56C23E"/>
    <w:lvl w:ilvl="0" w:tplc="D8D2A64A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F2C73"/>
    <w:multiLevelType w:val="hybridMultilevel"/>
    <w:tmpl w:val="7DF0EBDE"/>
    <w:lvl w:ilvl="0" w:tplc="5E4032FC">
      <w:start w:val="1"/>
      <w:numFmt w:val="lowerLetter"/>
      <w:lvlText w:val="%1."/>
      <w:lvlJc w:val="left"/>
      <w:pPr>
        <w:ind w:left="886" w:hanging="360"/>
      </w:pPr>
      <w:rPr>
        <w:rFonts w:asciiTheme="majorHAnsi" w:eastAsiaTheme="minorEastAsia" w:hAnsiTheme="majorHAnsi" w:cstheme="minorBidi"/>
      </w:rPr>
    </w:lvl>
    <w:lvl w:ilvl="1" w:tplc="180A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9" w15:restartNumberingAfterBreak="0">
    <w:nsid w:val="653B515E"/>
    <w:multiLevelType w:val="hybridMultilevel"/>
    <w:tmpl w:val="6CE8A0EE"/>
    <w:lvl w:ilvl="0" w:tplc="F65CC0C2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46" w:hanging="360"/>
      </w:pPr>
    </w:lvl>
    <w:lvl w:ilvl="2" w:tplc="180A001B" w:tentative="1">
      <w:start w:val="1"/>
      <w:numFmt w:val="lowerRoman"/>
      <w:lvlText w:val="%3."/>
      <w:lvlJc w:val="right"/>
      <w:pPr>
        <w:ind w:left="1966" w:hanging="180"/>
      </w:pPr>
    </w:lvl>
    <w:lvl w:ilvl="3" w:tplc="180A000F" w:tentative="1">
      <w:start w:val="1"/>
      <w:numFmt w:val="decimal"/>
      <w:lvlText w:val="%4."/>
      <w:lvlJc w:val="left"/>
      <w:pPr>
        <w:ind w:left="2686" w:hanging="360"/>
      </w:pPr>
    </w:lvl>
    <w:lvl w:ilvl="4" w:tplc="180A0019" w:tentative="1">
      <w:start w:val="1"/>
      <w:numFmt w:val="lowerLetter"/>
      <w:lvlText w:val="%5."/>
      <w:lvlJc w:val="left"/>
      <w:pPr>
        <w:ind w:left="3406" w:hanging="360"/>
      </w:pPr>
    </w:lvl>
    <w:lvl w:ilvl="5" w:tplc="180A001B" w:tentative="1">
      <w:start w:val="1"/>
      <w:numFmt w:val="lowerRoman"/>
      <w:lvlText w:val="%6."/>
      <w:lvlJc w:val="right"/>
      <w:pPr>
        <w:ind w:left="4126" w:hanging="180"/>
      </w:pPr>
    </w:lvl>
    <w:lvl w:ilvl="6" w:tplc="180A000F" w:tentative="1">
      <w:start w:val="1"/>
      <w:numFmt w:val="decimal"/>
      <w:lvlText w:val="%7."/>
      <w:lvlJc w:val="left"/>
      <w:pPr>
        <w:ind w:left="4846" w:hanging="360"/>
      </w:pPr>
    </w:lvl>
    <w:lvl w:ilvl="7" w:tplc="180A0019" w:tentative="1">
      <w:start w:val="1"/>
      <w:numFmt w:val="lowerLetter"/>
      <w:lvlText w:val="%8."/>
      <w:lvlJc w:val="left"/>
      <w:pPr>
        <w:ind w:left="5566" w:hanging="360"/>
      </w:pPr>
    </w:lvl>
    <w:lvl w:ilvl="8" w:tplc="180A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0" w15:restartNumberingAfterBreak="0">
    <w:nsid w:val="6B102615"/>
    <w:multiLevelType w:val="hybridMultilevel"/>
    <w:tmpl w:val="4B685E2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2360F"/>
    <w:multiLevelType w:val="hybridMultilevel"/>
    <w:tmpl w:val="38B4E3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50380"/>
    <w:multiLevelType w:val="hybridMultilevel"/>
    <w:tmpl w:val="F46EC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2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17"/>
  </w:num>
  <w:num w:numId="12">
    <w:abstractNumId w:val="13"/>
  </w:num>
  <w:num w:numId="13">
    <w:abstractNumId w:val="21"/>
  </w:num>
  <w:num w:numId="14">
    <w:abstractNumId w:val="18"/>
  </w:num>
  <w:num w:numId="15">
    <w:abstractNumId w:val="21"/>
  </w:num>
  <w:num w:numId="16">
    <w:abstractNumId w:val="19"/>
  </w:num>
  <w:num w:numId="17">
    <w:abstractNumId w:val="5"/>
  </w:num>
  <w:num w:numId="18">
    <w:abstractNumId w:val="4"/>
  </w:num>
  <w:num w:numId="19">
    <w:abstractNumId w:val="2"/>
  </w:num>
  <w:num w:numId="20">
    <w:abstractNumId w:val="7"/>
  </w:num>
  <w:num w:numId="21">
    <w:abstractNumId w:val="10"/>
  </w:num>
  <w:num w:numId="22">
    <w:abstractNumId w:val="3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FC"/>
    <w:rsid w:val="00000FBA"/>
    <w:rsid w:val="000011FA"/>
    <w:rsid w:val="000055A8"/>
    <w:rsid w:val="0000681F"/>
    <w:rsid w:val="000110E0"/>
    <w:rsid w:val="0001254B"/>
    <w:rsid w:val="000170BD"/>
    <w:rsid w:val="000267D8"/>
    <w:rsid w:val="000276C3"/>
    <w:rsid w:val="00037367"/>
    <w:rsid w:val="00042750"/>
    <w:rsid w:val="000437A7"/>
    <w:rsid w:val="00063B1C"/>
    <w:rsid w:val="00063BC3"/>
    <w:rsid w:val="00064047"/>
    <w:rsid w:val="00071BC3"/>
    <w:rsid w:val="00071D4B"/>
    <w:rsid w:val="000764D4"/>
    <w:rsid w:val="000850BC"/>
    <w:rsid w:val="000859A3"/>
    <w:rsid w:val="00087FDF"/>
    <w:rsid w:val="00096F07"/>
    <w:rsid w:val="00097328"/>
    <w:rsid w:val="0009789B"/>
    <w:rsid w:val="00097A78"/>
    <w:rsid w:val="000A0256"/>
    <w:rsid w:val="000A4D01"/>
    <w:rsid w:val="000B3C01"/>
    <w:rsid w:val="000B40AA"/>
    <w:rsid w:val="000C1D38"/>
    <w:rsid w:val="000D4751"/>
    <w:rsid w:val="000D7DFE"/>
    <w:rsid w:val="000E4E10"/>
    <w:rsid w:val="000F0AF2"/>
    <w:rsid w:val="000F2E0D"/>
    <w:rsid w:val="00105510"/>
    <w:rsid w:val="00116CA6"/>
    <w:rsid w:val="00123E7F"/>
    <w:rsid w:val="0012482C"/>
    <w:rsid w:val="00145C56"/>
    <w:rsid w:val="00147D11"/>
    <w:rsid w:val="00152B16"/>
    <w:rsid w:val="00183CAE"/>
    <w:rsid w:val="0018685F"/>
    <w:rsid w:val="001A4125"/>
    <w:rsid w:val="001A5AB8"/>
    <w:rsid w:val="001A5B45"/>
    <w:rsid w:val="001A7FC3"/>
    <w:rsid w:val="001B65BD"/>
    <w:rsid w:val="001D2EA6"/>
    <w:rsid w:val="001D35BF"/>
    <w:rsid w:val="001E23E5"/>
    <w:rsid w:val="001E5C45"/>
    <w:rsid w:val="001E6F95"/>
    <w:rsid w:val="001F0E7B"/>
    <w:rsid w:val="00210FD4"/>
    <w:rsid w:val="00211500"/>
    <w:rsid w:val="002223B0"/>
    <w:rsid w:val="00222A48"/>
    <w:rsid w:val="00224A46"/>
    <w:rsid w:val="00226B7D"/>
    <w:rsid w:val="00233F6E"/>
    <w:rsid w:val="00237924"/>
    <w:rsid w:val="00240C2D"/>
    <w:rsid w:val="00252F1E"/>
    <w:rsid w:val="00256EA7"/>
    <w:rsid w:val="00257D0D"/>
    <w:rsid w:val="002620AB"/>
    <w:rsid w:val="0026349B"/>
    <w:rsid w:val="00283300"/>
    <w:rsid w:val="002A244B"/>
    <w:rsid w:val="002A4EBB"/>
    <w:rsid w:val="002B182D"/>
    <w:rsid w:val="002C525C"/>
    <w:rsid w:val="002C6DB7"/>
    <w:rsid w:val="002D06BE"/>
    <w:rsid w:val="002E248E"/>
    <w:rsid w:val="002E339B"/>
    <w:rsid w:val="002E63AC"/>
    <w:rsid w:val="002F0917"/>
    <w:rsid w:val="002F33BA"/>
    <w:rsid w:val="002F39C9"/>
    <w:rsid w:val="002F49D6"/>
    <w:rsid w:val="003009BF"/>
    <w:rsid w:val="00300A9A"/>
    <w:rsid w:val="00300C4C"/>
    <w:rsid w:val="00301752"/>
    <w:rsid w:val="003030EC"/>
    <w:rsid w:val="00307696"/>
    <w:rsid w:val="003118AC"/>
    <w:rsid w:val="00312077"/>
    <w:rsid w:val="0031219C"/>
    <w:rsid w:val="003122DC"/>
    <w:rsid w:val="0031285D"/>
    <w:rsid w:val="003157A2"/>
    <w:rsid w:val="00315C61"/>
    <w:rsid w:val="003169D6"/>
    <w:rsid w:val="003209D7"/>
    <w:rsid w:val="00321B2A"/>
    <w:rsid w:val="00325BFD"/>
    <w:rsid w:val="00327C0E"/>
    <w:rsid w:val="0033252D"/>
    <w:rsid w:val="00336D69"/>
    <w:rsid w:val="00337503"/>
    <w:rsid w:val="003469F1"/>
    <w:rsid w:val="0035764A"/>
    <w:rsid w:val="0036521F"/>
    <w:rsid w:val="003704B6"/>
    <w:rsid w:val="00375259"/>
    <w:rsid w:val="0037751B"/>
    <w:rsid w:val="00383082"/>
    <w:rsid w:val="003846A9"/>
    <w:rsid w:val="003862DC"/>
    <w:rsid w:val="00393AFF"/>
    <w:rsid w:val="00394B23"/>
    <w:rsid w:val="00395E60"/>
    <w:rsid w:val="003B1027"/>
    <w:rsid w:val="003B3CF5"/>
    <w:rsid w:val="003C0531"/>
    <w:rsid w:val="003C1135"/>
    <w:rsid w:val="003D49D0"/>
    <w:rsid w:val="003E00F7"/>
    <w:rsid w:val="003E665C"/>
    <w:rsid w:val="003F2067"/>
    <w:rsid w:val="003F3542"/>
    <w:rsid w:val="003F52A8"/>
    <w:rsid w:val="003F5D94"/>
    <w:rsid w:val="0040188D"/>
    <w:rsid w:val="00402657"/>
    <w:rsid w:val="0040600B"/>
    <w:rsid w:val="00422742"/>
    <w:rsid w:val="00431AF7"/>
    <w:rsid w:val="004349D9"/>
    <w:rsid w:val="0043575A"/>
    <w:rsid w:val="004377EC"/>
    <w:rsid w:val="0044230C"/>
    <w:rsid w:val="00445544"/>
    <w:rsid w:val="00457AD1"/>
    <w:rsid w:val="0046601C"/>
    <w:rsid w:val="00470BC8"/>
    <w:rsid w:val="00471D67"/>
    <w:rsid w:val="00485784"/>
    <w:rsid w:val="00490851"/>
    <w:rsid w:val="00494C07"/>
    <w:rsid w:val="004B09EB"/>
    <w:rsid w:val="004B4558"/>
    <w:rsid w:val="004B73C2"/>
    <w:rsid w:val="004C138E"/>
    <w:rsid w:val="004C2F0C"/>
    <w:rsid w:val="004C6205"/>
    <w:rsid w:val="004D102D"/>
    <w:rsid w:val="004F2137"/>
    <w:rsid w:val="004F4CC9"/>
    <w:rsid w:val="0050038E"/>
    <w:rsid w:val="00511DA1"/>
    <w:rsid w:val="00512140"/>
    <w:rsid w:val="00520E15"/>
    <w:rsid w:val="00526499"/>
    <w:rsid w:val="0054130D"/>
    <w:rsid w:val="00541502"/>
    <w:rsid w:val="00542468"/>
    <w:rsid w:val="00545952"/>
    <w:rsid w:val="00546F59"/>
    <w:rsid w:val="005521BA"/>
    <w:rsid w:val="005645E9"/>
    <w:rsid w:val="0056486D"/>
    <w:rsid w:val="0056752F"/>
    <w:rsid w:val="00575E69"/>
    <w:rsid w:val="005763AC"/>
    <w:rsid w:val="0057695E"/>
    <w:rsid w:val="00577272"/>
    <w:rsid w:val="00582788"/>
    <w:rsid w:val="00584A8D"/>
    <w:rsid w:val="00595B87"/>
    <w:rsid w:val="005A0115"/>
    <w:rsid w:val="005A1BEC"/>
    <w:rsid w:val="005A1D5C"/>
    <w:rsid w:val="005A508F"/>
    <w:rsid w:val="005B6612"/>
    <w:rsid w:val="005C39DD"/>
    <w:rsid w:val="005C7499"/>
    <w:rsid w:val="005D1A39"/>
    <w:rsid w:val="005D1A90"/>
    <w:rsid w:val="005F48BB"/>
    <w:rsid w:val="005F5C3F"/>
    <w:rsid w:val="005F70F8"/>
    <w:rsid w:val="0060140E"/>
    <w:rsid w:val="00606187"/>
    <w:rsid w:val="00607612"/>
    <w:rsid w:val="00610B96"/>
    <w:rsid w:val="00613B6E"/>
    <w:rsid w:val="006240ED"/>
    <w:rsid w:val="0063002A"/>
    <w:rsid w:val="006430EB"/>
    <w:rsid w:val="00650A64"/>
    <w:rsid w:val="00655D60"/>
    <w:rsid w:val="00665CF7"/>
    <w:rsid w:val="00677CAE"/>
    <w:rsid w:val="00682965"/>
    <w:rsid w:val="006870F6"/>
    <w:rsid w:val="00692817"/>
    <w:rsid w:val="006A5A34"/>
    <w:rsid w:val="006A756D"/>
    <w:rsid w:val="006B0BE1"/>
    <w:rsid w:val="006B123C"/>
    <w:rsid w:val="006B48E1"/>
    <w:rsid w:val="006C2E98"/>
    <w:rsid w:val="006D332B"/>
    <w:rsid w:val="006D573F"/>
    <w:rsid w:val="006D65C6"/>
    <w:rsid w:val="006D69B1"/>
    <w:rsid w:val="006D6D92"/>
    <w:rsid w:val="006D7EEA"/>
    <w:rsid w:val="006F00E6"/>
    <w:rsid w:val="006F00FB"/>
    <w:rsid w:val="006F3CC8"/>
    <w:rsid w:val="006F58FE"/>
    <w:rsid w:val="0070299E"/>
    <w:rsid w:val="007049A1"/>
    <w:rsid w:val="00716B3C"/>
    <w:rsid w:val="00722C85"/>
    <w:rsid w:val="007334AF"/>
    <w:rsid w:val="00734415"/>
    <w:rsid w:val="00736126"/>
    <w:rsid w:val="00736859"/>
    <w:rsid w:val="00741B9E"/>
    <w:rsid w:val="00744A64"/>
    <w:rsid w:val="007573AD"/>
    <w:rsid w:val="00757805"/>
    <w:rsid w:val="00764599"/>
    <w:rsid w:val="007665EB"/>
    <w:rsid w:val="00776051"/>
    <w:rsid w:val="00791A8A"/>
    <w:rsid w:val="007922A4"/>
    <w:rsid w:val="007970D6"/>
    <w:rsid w:val="007A03AC"/>
    <w:rsid w:val="007B3352"/>
    <w:rsid w:val="007C0184"/>
    <w:rsid w:val="007C092F"/>
    <w:rsid w:val="007C0E01"/>
    <w:rsid w:val="007D50FA"/>
    <w:rsid w:val="007E0126"/>
    <w:rsid w:val="007F1008"/>
    <w:rsid w:val="007F357C"/>
    <w:rsid w:val="007F5AD1"/>
    <w:rsid w:val="008007E1"/>
    <w:rsid w:val="008123FB"/>
    <w:rsid w:val="00814368"/>
    <w:rsid w:val="008150FA"/>
    <w:rsid w:val="00820382"/>
    <w:rsid w:val="008215B0"/>
    <w:rsid w:val="00821801"/>
    <w:rsid w:val="00821DD5"/>
    <w:rsid w:val="00831F75"/>
    <w:rsid w:val="008328A9"/>
    <w:rsid w:val="0084522E"/>
    <w:rsid w:val="008536FF"/>
    <w:rsid w:val="00853E46"/>
    <w:rsid w:val="008546D6"/>
    <w:rsid w:val="00855959"/>
    <w:rsid w:val="0085647D"/>
    <w:rsid w:val="00860B8F"/>
    <w:rsid w:val="00861740"/>
    <w:rsid w:val="00870C96"/>
    <w:rsid w:val="008747C1"/>
    <w:rsid w:val="008A3972"/>
    <w:rsid w:val="008A7792"/>
    <w:rsid w:val="008B5198"/>
    <w:rsid w:val="008B600E"/>
    <w:rsid w:val="008E133E"/>
    <w:rsid w:val="008F7B1F"/>
    <w:rsid w:val="00900786"/>
    <w:rsid w:val="009017F9"/>
    <w:rsid w:val="0090364F"/>
    <w:rsid w:val="009127CD"/>
    <w:rsid w:val="00922112"/>
    <w:rsid w:val="009231F4"/>
    <w:rsid w:val="00924C77"/>
    <w:rsid w:val="009301D6"/>
    <w:rsid w:val="00932BC8"/>
    <w:rsid w:val="00933E44"/>
    <w:rsid w:val="009346B1"/>
    <w:rsid w:val="0093613A"/>
    <w:rsid w:val="00941112"/>
    <w:rsid w:val="00950933"/>
    <w:rsid w:val="009517BB"/>
    <w:rsid w:val="00953F63"/>
    <w:rsid w:val="0095603B"/>
    <w:rsid w:val="00960079"/>
    <w:rsid w:val="0096568D"/>
    <w:rsid w:val="00972FC2"/>
    <w:rsid w:val="009744A8"/>
    <w:rsid w:val="00982C3F"/>
    <w:rsid w:val="009937F2"/>
    <w:rsid w:val="0099499F"/>
    <w:rsid w:val="009A72D4"/>
    <w:rsid w:val="009B383E"/>
    <w:rsid w:val="009B5894"/>
    <w:rsid w:val="009C45A4"/>
    <w:rsid w:val="009C4A8E"/>
    <w:rsid w:val="009C5808"/>
    <w:rsid w:val="009C7E97"/>
    <w:rsid w:val="009D0591"/>
    <w:rsid w:val="009F1F49"/>
    <w:rsid w:val="00A05E59"/>
    <w:rsid w:val="00A110BF"/>
    <w:rsid w:val="00A116B9"/>
    <w:rsid w:val="00A15242"/>
    <w:rsid w:val="00A17FA5"/>
    <w:rsid w:val="00A22122"/>
    <w:rsid w:val="00A238EF"/>
    <w:rsid w:val="00A262C0"/>
    <w:rsid w:val="00A3227E"/>
    <w:rsid w:val="00A34131"/>
    <w:rsid w:val="00A377F7"/>
    <w:rsid w:val="00A45DCC"/>
    <w:rsid w:val="00A47FFC"/>
    <w:rsid w:val="00A505A1"/>
    <w:rsid w:val="00A616E0"/>
    <w:rsid w:val="00A63DC2"/>
    <w:rsid w:val="00A82469"/>
    <w:rsid w:val="00A831B5"/>
    <w:rsid w:val="00A85B1E"/>
    <w:rsid w:val="00A95BCB"/>
    <w:rsid w:val="00AA333E"/>
    <w:rsid w:val="00AA5427"/>
    <w:rsid w:val="00AC67D6"/>
    <w:rsid w:val="00AD0443"/>
    <w:rsid w:val="00AD0914"/>
    <w:rsid w:val="00AD0E96"/>
    <w:rsid w:val="00AD427C"/>
    <w:rsid w:val="00AE5E3B"/>
    <w:rsid w:val="00AF287D"/>
    <w:rsid w:val="00AF34A7"/>
    <w:rsid w:val="00B03131"/>
    <w:rsid w:val="00B21223"/>
    <w:rsid w:val="00B229BB"/>
    <w:rsid w:val="00B239F2"/>
    <w:rsid w:val="00B265BE"/>
    <w:rsid w:val="00B2708D"/>
    <w:rsid w:val="00B3118E"/>
    <w:rsid w:val="00B31ECB"/>
    <w:rsid w:val="00B327BD"/>
    <w:rsid w:val="00B32CF8"/>
    <w:rsid w:val="00B56327"/>
    <w:rsid w:val="00B57183"/>
    <w:rsid w:val="00B70263"/>
    <w:rsid w:val="00B73257"/>
    <w:rsid w:val="00B732FB"/>
    <w:rsid w:val="00B761C7"/>
    <w:rsid w:val="00B8783E"/>
    <w:rsid w:val="00B87F49"/>
    <w:rsid w:val="00B92F91"/>
    <w:rsid w:val="00B93E0D"/>
    <w:rsid w:val="00BA4FC4"/>
    <w:rsid w:val="00BA521D"/>
    <w:rsid w:val="00BA5C58"/>
    <w:rsid w:val="00BB0C3E"/>
    <w:rsid w:val="00BB7356"/>
    <w:rsid w:val="00BC290C"/>
    <w:rsid w:val="00BE04CC"/>
    <w:rsid w:val="00BF27D8"/>
    <w:rsid w:val="00BF3BF8"/>
    <w:rsid w:val="00C01CFC"/>
    <w:rsid w:val="00C028FF"/>
    <w:rsid w:val="00C02EDF"/>
    <w:rsid w:val="00C041B4"/>
    <w:rsid w:val="00C04C96"/>
    <w:rsid w:val="00C11F81"/>
    <w:rsid w:val="00C16F86"/>
    <w:rsid w:val="00C20AB7"/>
    <w:rsid w:val="00C22648"/>
    <w:rsid w:val="00C36F32"/>
    <w:rsid w:val="00C37719"/>
    <w:rsid w:val="00C5171E"/>
    <w:rsid w:val="00C63082"/>
    <w:rsid w:val="00C66EC7"/>
    <w:rsid w:val="00C747F6"/>
    <w:rsid w:val="00C81FF5"/>
    <w:rsid w:val="00C84A51"/>
    <w:rsid w:val="00C862DD"/>
    <w:rsid w:val="00C87ED4"/>
    <w:rsid w:val="00CA7EEE"/>
    <w:rsid w:val="00CB19D0"/>
    <w:rsid w:val="00CB63FA"/>
    <w:rsid w:val="00CD1333"/>
    <w:rsid w:val="00CD227B"/>
    <w:rsid w:val="00CD65DA"/>
    <w:rsid w:val="00CD662E"/>
    <w:rsid w:val="00CE321E"/>
    <w:rsid w:val="00CE3A07"/>
    <w:rsid w:val="00CE6048"/>
    <w:rsid w:val="00CF1B59"/>
    <w:rsid w:val="00CF6028"/>
    <w:rsid w:val="00CF703D"/>
    <w:rsid w:val="00D00CF8"/>
    <w:rsid w:val="00D06E2A"/>
    <w:rsid w:val="00D21054"/>
    <w:rsid w:val="00D33312"/>
    <w:rsid w:val="00D37E45"/>
    <w:rsid w:val="00D47CB0"/>
    <w:rsid w:val="00D56599"/>
    <w:rsid w:val="00D61D04"/>
    <w:rsid w:val="00D6362E"/>
    <w:rsid w:val="00D67508"/>
    <w:rsid w:val="00D84C22"/>
    <w:rsid w:val="00D853B6"/>
    <w:rsid w:val="00D8798F"/>
    <w:rsid w:val="00D92337"/>
    <w:rsid w:val="00D9791B"/>
    <w:rsid w:val="00DA46A4"/>
    <w:rsid w:val="00DA7F5C"/>
    <w:rsid w:val="00DB394C"/>
    <w:rsid w:val="00DC2F45"/>
    <w:rsid w:val="00DC6C4B"/>
    <w:rsid w:val="00DC71C8"/>
    <w:rsid w:val="00DD3FB8"/>
    <w:rsid w:val="00DD5BC0"/>
    <w:rsid w:val="00DE0812"/>
    <w:rsid w:val="00DE11FF"/>
    <w:rsid w:val="00DE3491"/>
    <w:rsid w:val="00DE69DF"/>
    <w:rsid w:val="00E011F5"/>
    <w:rsid w:val="00E01FE1"/>
    <w:rsid w:val="00E11A66"/>
    <w:rsid w:val="00E13E4C"/>
    <w:rsid w:val="00E15044"/>
    <w:rsid w:val="00E212F2"/>
    <w:rsid w:val="00E21BC7"/>
    <w:rsid w:val="00E22C4D"/>
    <w:rsid w:val="00E24314"/>
    <w:rsid w:val="00E24F37"/>
    <w:rsid w:val="00E33798"/>
    <w:rsid w:val="00E35050"/>
    <w:rsid w:val="00E41A7E"/>
    <w:rsid w:val="00E42CF5"/>
    <w:rsid w:val="00E51EBF"/>
    <w:rsid w:val="00E54374"/>
    <w:rsid w:val="00E66750"/>
    <w:rsid w:val="00E67927"/>
    <w:rsid w:val="00E81A4D"/>
    <w:rsid w:val="00E81F0F"/>
    <w:rsid w:val="00E85763"/>
    <w:rsid w:val="00E904F7"/>
    <w:rsid w:val="00E92F53"/>
    <w:rsid w:val="00E9320F"/>
    <w:rsid w:val="00E94B5E"/>
    <w:rsid w:val="00E9501B"/>
    <w:rsid w:val="00EA2D3B"/>
    <w:rsid w:val="00EB2E2B"/>
    <w:rsid w:val="00EB2E8B"/>
    <w:rsid w:val="00EB46D0"/>
    <w:rsid w:val="00EB72BC"/>
    <w:rsid w:val="00EC5AA1"/>
    <w:rsid w:val="00ED2831"/>
    <w:rsid w:val="00ED6613"/>
    <w:rsid w:val="00ED743B"/>
    <w:rsid w:val="00EE0F30"/>
    <w:rsid w:val="00EE0FFC"/>
    <w:rsid w:val="00EE4539"/>
    <w:rsid w:val="00EE7230"/>
    <w:rsid w:val="00EF2506"/>
    <w:rsid w:val="00F014E0"/>
    <w:rsid w:val="00F02613"/>
    <w:rsid w:val="00F037E5"/>
    <w:rsid w:val="00F1063C"/>
    <w:rsid w:val="00F10BDD"/>
    <w:rsid w:val="00F12998"/>
    <w:rsid w:val="00F15E52"/>
    <w:rsid w:val="00F166D6"/>
    <w:rsid w:val="00F16CAF"/>
    <w:rsid w:val="00F174FF"/>
    <w:rsid w:val="00F25E32"/>
    <w:rsid w:val="00F26234"/>
    <w:rsid w:val="00F2664E"/>
    <w:rsid w:val="00F2730B"/>
    <w:rsid w:val="00F278A6"/>
    <w:rsid w:val="00F31D35"/>
    <w:rsid w:val="00F36F03"/>
    <w:rsid w:val="00F37C1B"/>
    <w:rsid w:val="00F40AB3"/>
    <w:rsid w:val="00F56369"/>
    <w:rsid w:val="00F7381F"/>
    <w:rsid w:val="00F74FD7"/>
    <w:rsid w:val="00F77AE0"/>
    <w:rsid w:val="00F859EF"/>
    <w:rsid w:val="00F918F3"/>
    <w:rsid w:val="00FA301D"/>
    <w:rsid w:val="00FA30BF"/>
    <w:rsid w:val="00FA3653"/>
    <w:rsid w:val="00FB00DD"/>
    <w:rsid w:val="00FB050D"/>
    <w:rsid w:val="00FB4A6E"/>
    <w:rsid w:val="00FB5168"/>
    <w:rsid w:val="00FC40E5"/>
    <w:rsid w:val="00FC75A7"/>
    <w:rsid w:val="00FC77F4"/>
    <w:rsid w:val="00FD61A1"/>
    <w:rsid w:val="00FD7302"/>
    <w:rsid w:val="00FE6C1E"/>
    <w:rsid w:val="00FE6D4C"/>
    <w:rsid w:val="00FE6EDD"/>
    <w:rsid w:val="00FF3535"/>
    <w:rsid w:val="00FF431C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2D9D93"/>
  <w15:docId w15:val="{B53C9466-2BE3-41D9-B8DB-40508290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1CF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1CFC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B3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94C"/>
    <w:rPr>
      <w:lang w:val="en-GB"/>
    </w:rPr>
  </w:style>
  <w:style w:type="paragraph" w:styleId="NormalWeb">
    <w:name w:val="Normal (Web)"/>
    <w:basedOn w:val="Normal"/>
    <w:rsid w:val="00DB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th-TH"/>
    </w:rPr>
  </w:style>
  <w:style w:type="paragraph" w:styleId="Prrafodelista">
    <w:name w:val="List Paragraph"/>
    <w:basedOn w:val="Normal"/>
    <w:uiPriority w:val="34"/>
    <w:qFormat/>
    <w:rsid w:val="006430E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6430EB"/>
    <w:pPr>
      <w:autoSpaceDE w:val="0"/>
      <w:autoSpaceDN w:val="0"/>
      <w:adjustRightInd w:val="0"/>
      <w:spacing w:after="0" w:line="240" w:lineRule="auto"/>
    </w:pPr>
    <w:rPr>
      <w:rFonts w:ascii="Source Sans Pro ExtraLight" w:eastAsia="Calibri" w:hAnsi="Source Sans Pro ExtraLight" w:cs="Source Sans Pro ExtraLight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9301D6"/>
    <w:rPr>
      <w:color w:val="0000FF"/>
      <w:u w:val="single"/>
    </w:rPr>
  </w:style>
  <w:style w:type="paragraph" w:styleId="Textonotapie">
    <w:name w:val="footnote text"/>
    <w:basedOn w:val="Normal"/>
    <w:link w:val="TextonotapieCar"/>
    <w:unhideWhenUsed/>
    <w:rsid w:val="009301D6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rsid w:val="009301D6"/>
    <w:rPr>
      <w:rFonts w:ascii="Arial" w:eastAsia="Arial" w:hAnsi="Arial" w:cs="Arial"/>
      <w:color w:val="000000"/>
      <w:sz w:val="20"/>
      <w:szCs w:val="20"/>
      <w:lang w:eastAsia="en-US"/>
    </w:rPr>
  </w:style>
  <w:style w:type="character" w:styleId="Refdenotaalpie">
    <w:name w:val="footnote reference"/>
    <w:basedOn w:val="Fuentedeprrafopredeter"/>
    <w:unhideWhenUsed/>
    <w:rsid w:val="009301D6"/>
    <w:rPr>
      <w:vertAlign w:val="superscript"/>
    </w:rPr>
  </w:style>
  <w:style w:type="table" w:styleId="Tablaconcuadrcula">
    <w:name w:val="Table Grid"/>
    <w:basedOn w:val="Tablanormal"/>
    <w:uiPriority w:val="39"/>
    <w:rsid w:val="00E2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C2F45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6D6D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6D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6D92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6D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6D92"/>
    <w:rPr>
      <w:b/>
      <w:bCs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6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D92"/>
    <w:rPr>
      <w:rFonts w:ascii="Segoe UI" w:hAnsi="Segoe UI" w:cs="Segoe UI"/>
      <w:sz w:val="18"/>
      <w:szCs w:val="18"/>
      <w:lang w:val="en-GB"/>
    </w:rPr>
  </w:style>
  <w:style w:type="character" w:customStyle="1" w:styleId="Mencinsinresolver1">
    <w:name w:val="Mención sin resolver1"/>
    <w:basedOn w:val="Fuentedeprrafopredeter"/>
    <w:uiPriority w:val="99"/>
    <w:rsid w:val="00D61D04"/>
    <w:rPr>
      <w:color w:val="808080"/>
      <w:shd w:val="clear" w:color="auto" w:fill="E6E6E6"/>
    </w:rPr>
  </w:style>
  <w:style w:type="character" w:styleId="nfasis">
    <w:name w:val="Emphasis"/>
    <w:basedOn w:val="Fuentedeprrafopredeter"/>
    <w:uiPriority w:val="20"/>
    <w:qFormat/>
    <w:rsid w:val="00FC40E5"/>
    <w:rPr>
      <w:i/>
      <w:iCs/>
    </w:rPr>
  </w:style>
  <w:style w:type="paragraph" w:styleId="Revisin">
    <w:name w:val="Revision"/>
    <w:hidden/>
    <w:uiPriority w:val="99"/>
    <w:semiHidden/>
    <w:rsid w:val="00722C85"/>
    <w:pPr>
      <w:spacing w:after="0" w:line="240" w:lineRule="auto"/>
    </w:pPr>
    <w:rPr>
      <w:lang w:val="en-GB"/>
    </w:rPr>
  </w:style>
  <w:style w:type="paragraph" w:customStyle="1" w:styleId="Normal1">
    <w:name w:val="Normal1"/>
    <w:basedOn w:val="Normal"/>
    <w:uiPriority w:val="99"/>
    <w:rsid w:val="0040188D"/>
    <w:pPr>
      <w:spacing w:after="0" w:line="240" w:lineRule="auto"/>
      <w:ind w:firstLine="360"/>
    </w:pPr>
    <w:rPr>
      <w:rFonts w:ascii="Calibri" w:hAnsi="Calibri" w:cs="Calibri"/>
      <w:color w:val="000000"/>
      <w:lang w:val="en-US" w:eastAsia="ja-JP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77CAE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FF4C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eur-lex.europa.eu/legal-%20%20%20%20%20content/EN/TXT/PDF/?uri=CELEX:52018DC0097&amp;from=EN" TargetMode="External"/><Relationship Id="rId18" Type="http://schemas.openxmlformats.org/officeDocument/2006/relationships/hyperlink" Target="http://www.unepfi.org/news/industries/banking/tcfd-recommendation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nescap.org/sites/default/files/ESCAP_Financing_DRR_2015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frastructure.gc.ca/alt-format/pdf/plan/2018-04-16-ICP-PIC-english-flat.pdf" TargetMode="External"/><Relationship Id="rId17" Type="http://schemas.openxmlformats.org/officeDocument/2006/relationships/hyperlink" Target="http://blogs.edf.org/growingreturns/2018/08/14/environmental-impact-bond-coastal-communitie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reventionweb.net/publications/view/42406" TargetMode="External"/><Relationship Id="rId20" Type="http://schemas.openxmlformats.org/officeDocument/2006/relationships/hyperlink" Target="https://www.gfdrr.org/sites/default/files/publication/Riskier%20Futur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rastructure.gc.ca/plan/about-invest-apropos-eng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lobal.nature.org/content/insuring-nature-to-ensure-a-resilient-future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nepfi.org/news/industries/banking/tcfd-recommendations/" TargetMode="External"/><Relationship Id="rId19" Type="http://schemas.openxmlformats.org/officeDocument/2006/relationships/hyperlink" Target="https://www.lloyds.com/~/media/files/news-and-insight/risk-insight/2018/innovative-finance-for-resilient-infrastructur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sdr.org/files/51068_eiutowardsdisasterrisksensitiveinve.pdf" TargetMode="External"/><Relationship Id="rId14" Type="http://schemas.openxmlformats.org/officeDocument/2006/relationships/hyperlink" Target="http://ec.europa.eu/finance/docs/law/170920-communication-esas_en.pdf" TargetMode="External"/><Relationship Id="rId22" Type="http://schemas.openxmlformats.org/officeDocument/2006/relationships/hyperlink" Target="https://docs.wixstatic.com/ugd/621230_2badf731167c4ad0bbb9864972d617d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613CF1-8046-41D8-AB96-A073A8E7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1755</Words>
  <Characters>9654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Lawal;Raul Salazar</dc:creator>
  <cp:keywords/>
  <dc:description/>
  <cp:lastModifiedBy>Raul Salazar Salazar</cp:lastModifiedBy>
  <cp:revision>2</cp:revision>
  <dcterms:created xsi:type="dcterms:W3CDTF">2019-05-15T06:53:00Z</dcterms:created>
  <dcterms:modified xsi:type="dcterms:W3CDTF">2019-05-15T06:53:00Z</dcterms:modified>
</cp:coreProperties>
</file>