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D" w:rsidRDefault="00772EED" w:rsidP="00082467">
      <w:pPr>
        <w:spacing w:line="276" w:lineRule="auto"/>
        <w:jc w:val="center"/>
        <w:rPr>
          <w:rFonts w:asciiTheme="majorHAnsi" w:eastAsia="Calibri" w:hAnsiTheme="majorHAnsi" w:cs="Garamond"/>
          <w:b/>
          <w:sz w:val="32"/>
          <w:lang w:val="en-US"/>
        </w:rPr>
      </w:pPr>
      <w:r>
        <w:rPr>
          <w:rFonts w:asciiTheme="majorHAnsi" w:eastAsia="Calibri" w:hAnsiTheme="majorHAnsi" w:cs="Garamond"/>
          <w:b/>
          <w:noProof/>
          <w:sz w:val="32"/>
          <w:lang w:val="en-US"/>
        </w:rPr>
        <w:drawing>
          <wp:inline distT="0" distB="0" distL="0" distR="0">
            <wp:extent cx="2105025" cy="505206"/>
            <wp:effectExtent l="19050" t="0" r="9525" b="0"/>
            <wp:docPr id="1" name="Image 0" descr="logobassedé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assedé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680" cy="50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EED" w:rsidRDefault="00772EED" w:rsidP="00082467">
      <w:pPr>
        <w:spacing w:line="276" w:lineRule="auto"/>
        <w:jc w:val="center"/>
        <w:rPr>
          <w:rFonts w:asciiTheme="majorHAnsi" w:eastAsia="Calibri" w:hAnsiTheme="majorHAnsi" w:cs="Garamond"/>
          <w:b/>
          <w:sz w:val="32"/>
          <w:lang w:val="en-US"/>
        </w:rPr>
      </w:pPr>
    </w:p>
    <w:p w:rsidR="00082467" w:rsidRPr="00772EED" w:rsidRDefault="00772EED" w:rsidP="00082467">
      <w:pPr>
        <w:spacing w:line="276" w:lineRule="auto"/>
        <w:jc w:val="center"/>
        <w:rPr>
          <w:rFonts w:asciiTheme="majorHAnsi" w:eastAsia="Calibri" w:hAnsiTheme="majorHAnsi" w:cs="Garamond"/>
          <w:b/>
          <w:sz w:val="32"/>
          <w:lang w:val="en-US"/>
        </w:rPr>
      </w:pPr>
      <w:r>
        <w:rPr>
          <w:rFonts w:asciiTheme="majorHAnsi" w:eastAsia="Calibri" w:hAnsiTheme="majorHAnsi" w:cs="Garamond"/>
          <w:b/>
          <w:sz w:val="32"/>
          <w:lang w:val="en-US"/>
        </w:rPr>
        <w:t>Human Rights &amp; Disaster Risk Reduction</w:t>
      </w:r>
    </w:p>
    <w:p w:rsidR="00772EED" w:rsidRPr="00765A6F" w:rsidRDefault="00765A6F" w:rsidP="00772EED">
      <w:pPr>
        <w:spacing w:line="276" w:lineRule="auto"/>
        <w:jc w:val="center"/>
        <w:rPr>
          <w:rFonts w:asciiTheme="majorHAnsi" w:eastAsia="Calibri" w:hAnsiTheme="majorHAnsi" w:cs="Garamond"/>
          <w:b/>
          <w:lang w:val="en-US"/>
        </w:rPr>
      </w:pPr>
      <w:r w:rsidRPr="00765A6F">
        <w:rPr>
          <w:rFonts w:asciiTheme="majorHAnsi" w:eastAsia="Calibri" w:hAnsiTheme="majorHAnsi" w:cs="Garamond"/>
          <w:b/>
          <w:lang w:val="en-US"/>
        </w:rPr>
        <w:t xml:space="preserve">Public Statement </w:t>
      </w:r>
      <w:r w:rsidRPr="00765A6F">
        <w:rPr>
          <w:rFonts w:asciiTheme="majorHAnsi" w:eastAsia="Calibri" w:hAnsiTheme="majorHAnsi" w:cs="Garamond"/>
          <w:b/>
          <w:lang w:val="en-US"/>
        </w:rPr>
        <w:br/>
        <w:t>Global Platform for Disaster Risk Reduction (3</w:t>
      </w:r>
      <w:r w:rsidRPr="00765A6F">
        <w:rPr>
          <w:rFonts w:asciiTheme="majorHAnsi" w:eastAsia="Calibri" w:hAnsiTheme="majorHAnsi" w:cs="Garamond"/>
          <w:b/>
          <w:vertAlign w:val="superscript"/>
          <w:lang w:val="en-US"/>
        </w:rPr>
        <w:t>rd</w:t>
      </w:r>
      <w:r w:rsidRPr="00765A6F">
        <w:rPr>
          <w:rFonts w:asciiTheme="majorHAnsi" w:eastAsia="Calibri" w:hAnsiTheme="majorHAnsi" w:cs="Garamond"/>
          <w:b/>
          <w:lang w:val="en-US"/>
        </w:rPr>
        <w:t xml:space="preserve"> Session), May 2011, Geneva - Switzerland </w:t>
      </w:r>
    </w:p>
    <w:p w:rsidR="00772EED" w:rsidRPr="00772EED" w:rsidRDefault="00772EED" w:rsidP="00772EED">
      <w:pPr>
        <w:spacing w:line="276" w:lineRule="auto"/>
        <w:jc w:val="center"/>
        <w:rPr>
          <w:rFonts w:asciiTheme="majorHAnsi" w:eastAsia="Calibri" w:hAnsiTheme="majorHAnsi" w:cs="Garamond"/>
          <w:lang w:val="en-US"/>
        </w:rPr>
      </w:pPr>
    </w:p>
    <w:p w:rsidR="00082467" w:rsidRPr="00772EED" w:rsidRDefault="00772EED" w:rsidP="00082467">
      <w:pPr>
        <w:spacing w:line="276" w:lineRule="auto"/>
        <w:jc w:val="both"/>
        <w:rPr>
          <w:rFonts w:asciiTheme="majorHAnsi" w:eastAsia="Calibri" w:hAnsiTheme="majorHAnsi" w:cs="Garamond"/>
          <w:lang w:val="en-US"/>
        </w:rPr>
      </w:pPr>
      <w:r w:rsidRPr="00772EED">
        <w:rPr>
          <w:rFonts w:asciiTheme="majorHAnsi" w:eastAsia="Calibri" w:hAnsiTheme="majorHAnsi" w:cs="Garamond"/>
          <w:lang w:val="en-US"/>
        </w:rPr>
        <w:t>Distinguished delegates,</w:t>
      </w:r>
    </w:p>
    <w:p w:rsidR="00772EED" w:rsidRPr="00772EED" w:rsidRDefault="00772EED" w:rsidP="00082467">
      <w:pPr>
        <w:spacing w:line="276" w:lineRule="auto"/>
        <w:jc w:val="both"/>
        <w:rPr>
          <w:rFonts w:asciiTheme="majorHAnsi" w:eastAsia="Calibri" w:hAnsiTheme="majorHAnsi" w:cs="Garamond"/>
          <w:lang w:val="en-US"/>
        </w:rPr>
      </w:pPr>
    </w:p>
    <w:p w:rsidR="00580444" w:rsidRDefault="00580444" w:rsidP="00082467">
      <w:pPr>
        <w:spacing w:line="276" w:lineRule="auto"/>
        <w:jc w:val="both"/>
        <w:rPr>
          <w:rFonts w:asciiTheme="majorHAnsi" w:eastAsia="Calibri" w:hAnsiTheme="majorHAnsi" w:cs="Garamond"/>
          <w:b/>
          <w:bCs/>
          <w:lang w:val="en-US"/>
        </w:rPr>
      </w:pPr>
      <w:r w:rsidRPr="00772EED">
        <w:rPr>
          <w:rFonts w:asciiTheme="majorHAnsi" w:eastAsia="Calibri" w:hAnsiTheme="majorHAnsi" w:cs="Garamond"/>
          <w:lang w:val="en-US"/>
        </w:rPr>
        <w:t>Despite the acknowledgment by the Inter-Agency Standing Committee (IASC) in 2008 that a Human Rights based approach (HRBA) shall guide Disaster Risk Mitigation</w:t>
      </w:r>
      <w:r w:rsidR="00147DA7" w:rsidRPr="00E451A2">
        <w:rPr>
          <w:rFonts w:asciiTheme="majorHAnsi" w:eastAsia="Calibri" w:hAnsiTheme="majorHAnsi" w:cs="Garamond"/>
          <w:lang w:val="en-US"/>
        </w:rPr>
        <w:t>,</w:t>
      </w:r>
      <w:r w:rsidRPr="00772EED">
        <w:rPr>
          <w:rFonts w:asciiTheme="majorHAnsi" w:eastAsia="Calibri" w:hAnsiTheme="majorHAnsi" w:cs="Garamond"/>
          <w:lang w:val="en-US"/>
        </w:rPr>
        <w:t xml:space="preserve"> including pre-disaster mitigation and preparedness measures,</w:t>
      </w:r>
      <w:r w:rsidRPr="00772EED">
        <w:rPr>
          <w:rFonts w:asciiTheme="majorHAnsi" w:eastAsia="Calibri" w:hAnsiTheme="majorHAnsi" w:cs="Garamond"/>
          <w:b/>
          <w:bCs/>
          <w:lang w:val="en-US"/>
        </w:rPr>
        <w:t xml:space="preserve"> little has been done to bridge and raise awareness about the added-value of human rights law</w:t>
      </w:r>
      <w:r w:rsidR="0076148F">
        <w:rPr>
          <w:rFonts w:asciiTheme="majorHAnsi" w:eastAsia="Calibri" w:hAnsiTheme="majorHAnsi" w:cs="Garamond"/>
          <w:b/>
          <w:bCs/>
          <w:lang w:val="en-US"/>
        </w:rPr>
        <w:t xml:space="preserve"> to ensure mainstreaming of DRR in governmental activities</w:t>
      </w:r>
      <w:r w:rsidRPr="00772EED">
        <w:rPr>
          <w:rFonts w:asciiTheme="majorHAnsi" w:eastAsia="Calibri" w:hAnsiTheme="majorHAnsi" w:cs="Garamond"/>
          <w:b/>
          <w:bCs/>
          <w:lang w:val="en-US"/>
        </w:rPr>
        <w:t>.</w:t>
      </w:r>
    </w:p>
    <w:p w:rsidR="0076148F" w:rsidRDefault="0076148F" w:rsidP="00082467">
      <w:pPr>
        <w:spacing w:line="276" w:lineRule="auto"/>
        <w:jc w:val="both"/>
        <w:rPr>
          <w:rFonts w:asciiTheme="majorHAnsi" w:eastAsia="Calibri" w:hAnsiTheme="majorHAnsi" w:cs="Garamond"/>
          <w:b/>
          <w:bCs/>
          <w:lang w:val="en-US"/>
        </w:rPr>
      </w:pPr>
    </w:p>
    <w:p w:rsidR="00580444" w:rsidRPr="00772EED" w:rsidRDefault="00580444" w:rsidP="00082467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 (Arabic)"/>
          <w:lang w:val="en-US"/>
        </w:rPr>
      </w:pPr>
      <w:r w:rsidRPr="00772EED">
        <w:rPr>
          <w:rFonts w:asciiTheme="majorHAnsi" w:eastAsia="Times New Roman" w:hAnsiTheme="majorHAnsi" w:cs="Garamond"/>
          <w:lang w:val="en-US"/>
        </w:rPr>
        <w:t>The system of human rights, as a legal framework, is continuously developing thanks both to increasing volun</w:t>
      </w:r>
      <w:r w:rsidR="00CA7306" w:rsidRPr="00772EED">
        <w:rPr>
          <w:rFonts w:asciiTheme="majorHAnsi" w:eastAsia="Times New Roman" w:hAnsiTheme="majorHAnsi" w:cs="Garamond"/>
          <w:lang w:val="en-US"/>
        </w:rPr>
        <w:t>tary commitments undertaken by S</w:t>
      </w:r>
      <w:r w:rsidRPr="00772EED">
        <w:rPr>
          <w:rFonts w:asciiTheme="majorHAnsi" w:eastAsia="Times New Roman" w:hAnsiTheme="majorHAnsi" w:cs="Garamond"/>
          <w:lang w:val="en-US"/>
        </w:rPr>
        <w:t>tates and through the improve</w:t>
      </w:r>
      <w:r w:rsidR="00772EED">
        <w:rPr>
          <w:rFonts w:asciiTheme="majorHAnsi" w:eastAsia="Times New Roman" w:hAnsiTheme="majorHAnsi" w:cs="Garamond"/>
          <w:lang w:val="en-US"/>
        </w:rPr>
        <w:t>ment of means of implementation.</w:t>
      </w:r>
      <w:r w:rsidRPr="00772EED">
        <w:rPr>
          <w:rFonts w:asciiTheme="majorHAnsi" w:eastAsia="Times New Roman" w:hAnsiTheme="majorHAnsi" w:cs="Garamond"/>
          <w:lang w:val="en-US"/>
        </w:rPr>
        <w:t xml:space="preserve"> </w:t>
      </w:r>
      <w:r w:rsidR="00772EED">
        <w:rPr>
          <w:rFonts w:asciiTheme="majorHAnsi" w:eastAsia="Times New Roman" w:hAnsiTheme="majorHAnsi" w:cs="Garamond"/>
          <w:lang w:val="en-US"/>
        </w:rPr>
        <w:t>I</w:t>
      </w:r>
      <w:r w:rsidRPr="00772EED">
        <w:rPr>
          <w:rFonts w:asciiTheme="majorHAnsi" w:eastAsia="Times New Roman" w:hAnsiTheme="majorHAnsi" w:cs="Garamond"/>
          <w:lang w:val="en-US"/>
        </w:rPr>
        <w:t xml:space="preserve">t represents an appropriate tool to promote the implementation by States of the principles of the Hyogo Framework for Action in the field of </w:t>
      </w:r>
      <w:r w:rsidRPr="00772EED">
        <w:rPr>
          <w:rFonts w:asciiTheme="majorHAnsi" w:eastAsia="Times New Roman" w:hAnsiTheme="majorHAnsi" w:cs="Garamond"/>
          <w:i/>
          <w:iCs/>
          <w:lang w:val="en-US"/>
        </w:rPr>
        <w:t>Disaster Risk Reduction</w:t>
      </w:r>
      <w:r w:rsidR="00772EED">
        <w:rPr>
          <w:rFonts w:asciiTheme="majorHAnsi" w:eastAsia="Times New Roman" w:hAnsiTheme="majorHAnsi" w:cs="Garamond"/>
          <w:iCs/>
          <w:lang w:val="en-US"/>
        </w:rPr>
        <w:t xml:space="preserve">, as I shall </w:t>
      </w:r>
      <w:r w:rsidR="00765A6F">
        <w:rPr>
          <w:rFonts w:asciiTheme="majorHAnsi" w:eastAsia="Times New Roman" w:hAnsiTheme="majorHAnsi" w:cs="Garamond"/>
          <w:iCs/>
          <w:lang w:val="en-US"/>
        </w:rPr>
        <w:t>briefly expand in my</w:t>
      </w:r>
      <w:r w:rsidR="00772EED">
        <w:rPr>
          <w:rFonts w:asciiTheme="majorHAnsi" w:eastAsia="Times New Roman" w:hAnsiTheme="majorHAnsi" w:cs="Garamond"/>
          <w:iCs/>
          <w:lang w:val="en-US"/>
        </w:rPr>
        <w:t xml:space="preserve"> intervention.</w:t>
      </w:r>
    </w:p>
    <w:p w:rsidR="00580444" w:rsidRPr="00772EED" w:rsidRDefault="00580444" w:rsidP="00082467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 (Arabic)"/>
          <w:lang w:val="en-US"/>
        </w:rPr>
      </w:pPr>
    </w:p>
    <w:p w:rsidR="00002493" w:rsidRPr="00002493" w:rsidRDefault="00580444" w:rsidP="00082467">
      <w:pPr>
        <w:autoSpaceDE w:val="0"/>
        <w:autoSpaceDN w:val="0"/>
        <w:adjustRightInd w:val="0"/>
        <w:jc w:val="both"/>
        <w:rPr>
          <w:rFonts w:asciiTheme="majorHAnsi" w:eastAsia="Calibri" w:hAnsiTheme="majorHAnsi" w:cs="Garamond"/>
          <w:lang w:val="en-US"/>
        </w:rPr>
      </w:pPr>
      <w:r w:rsidRPr="00772EED">
        <w:rPr>
          <w:rFonts w:asciiTheme="majorHAnsi" w:eastAsia="Times New Roman" w:hAnsiTheme="majorHAnsi" w:cs="Garamond"/>
          <w:lang w:val="en-US"/>
        </w:rPr>
        <w:t xml:space="preserve">Natural disasters and </w:t>
      </w:r>
      <w:r w:rsidRPr="00772EED">
        <w:rPr>
          <w:rFonts w:asciiTheme="majorHAnsi" w:eastAsia="Calibri" w:hAnsiTheme="majorHAnsi" w:cs="Garamond"/>
          <w:lang w:val="en-US"/>
        </w:rPr>
        <w:t>conflicts</w:t>
      </w:r>
      <w:r w:rsidRPr="00772EED">
        <w:rPr>
          <w:rFonts w:asciiTheme="majorHAnsi" w:eastAsia="Times New Roman" w:hAnsiTheme="majorHAnsi" w:cs="Garamond"/>
          <w:lang w:val="en-US"/>
        </w:rPr>
        <w:t xml:space="preserve"> affect </w:t>
      </w:r>
      <w:r w:rsidRPr="00772EED">
        <w:rPr>
          <w:rFonts w:asciiTheme="majorHAnsi" w:eastAsia="Calibri" w:hAnsiTheme="majorHAnsi" w:cs="Garamond"/>
          <w:lang w:val="en-US"/>
        </w:rPr>
        <w:t>directly</w:t>
      </w:r>
      <w:r w:rsidRPr="00772EED">
        <w:rPr>
          <w:rFonts w:asciiTheme="majorHAnsi" w:eastAsia="Times New Roman" w:hAnsiTheme="majorHAnsi" w:cs="Garamond"/>
          <w:lang w:val="en-US"/>
        </w:rPr>
        <w:t xml:space="preserve"> the enjoyment of fundamental human rights.</w:t>
      </w:r>
      <w:r w:rsidRPr="00772EED">
        <w:rPr>
          <w:rFonts w:asciiTheme="majorHAnsi" w:eastAsia="Calibri" w:hAnsiTheme="majorHAnsi" w:cs="Garamond"/>
          <w:lang w:val="en-US"/>
        </w:rPr>
        <w:t xml:space="preserve"> As a matter of fact destroyed shelters, lack of food or illnesses, all these realities impact directly </w:t>
      </w:r>
      <w:r w:rsidR="00CA7306" w:rsidRPr="00772EED">
        <w:rPr>
          <w:rFonts w:asciiTheme="majorHAnsi" w:eastAsia="Calibri" w:hAnsiTheme="majorHAnsi" w:cs="Garamond"/>
          <w:lang w:val="en-US"/>
        </w:rPr>
        <w:t xml:space="preserve">the enjoyment of </w:t>
      </w:r>
      <w:r w:rsidRPr="00772EED">
        <w:rPr>
          <w:rFonts w:asciiTheme="majorHAnsi" w:eastAsia="Calibri" w:hAnsiTheme="majorHAnsi" w:cs="Garamond"/>
          <w:lang w:val="en-US"/>
        </w:rPr>
        <w:t>fundamental human rights of affected populations, such as the right to housing, the right to food, the right to health or the right to water &amp; sanitation.</w:t>
      </w:r>
      <w:r w:rsidR="00002493">
        <w:rPr>
          <w:rFonts w:asciiTheme="majorHAnsi" w:eastAsia="Calibri" w:hAnsiTheme="majorHAnsi" w:cs="Garamond"/>
          <w:lang w:val="en-US"/>
        </w:rPr>
        <w:t xml:space="preserve"> In other words, </w:t>
      </w:r>
      <w:r w:rsidR="00002493" w:rsidRPr="00002493">
        <w:rPr>
          <w:rFonts w:asciiTheme="majorHAnsi" w:eastAsia="Calibri" w:hAnsiTheme="majorHAnsi" w:cs="Garamond"/>
          <w:b/>
          <w:lang w:val="en-US"/>
        </w:rPr>
        <w:t>there can be no enjoyment of human rights without integration of the DRR component within State activities</w:t>
      </w:r>
      <w:r w:rsidR="00002493">
        <w:rPr>
          <w:rFonts w:asciiTheme="majorHAnsi" w:eastAsia="Calibri" w:hAnsiTheme="majorHAnsi" w:cs="Garamond"/>
          <w:lang w:val="en-US"/>
        </w:rPr>
        <w:t xml:space="preserve">. </w:t>
      </w:r>
    </w:p>
    <w:p w:rsidR="00580444" w:rsidRPr="00772EED" w:rsidRDefault="00580444" w:rsidP="00082467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 (Arabic)"/>
          <w:lang w:val="en-US"/>
        </w:rPr>
      </w:pPr>
    </w:p>
    <w:p w:rsidR="00F91246" w:rsidRDefault="008F32F0" w:rsidP="00082467">
      <w:pPr>
        <w:autoSpaceDE w:val="0"/>
        <w:autoSpaceDN w:val="0"/>
        <w:adjustRightInd w:val="0"/>
        <w:jc w:val="both"/>
        <w:rPr>
          <w:rFonts w:asciiTheme="majorHAnsi" w:eastAsia="Times New Roman" w:hAnsiTheme="majorHAnsi" w:cs="Garamond"/>
          <w:lang w:val="en-US"/>
        </w:rPr>
      </w:pPr>
      <w:r>
        <w:rPr>
          <w:rFonts w:asciiTheme="majorHAnsi" w:eastAsia="Times New Roman" w:hAnsiTheme="majorHAnsi" w:cs="Garamond"/>
          <w:lang w:val="en-US"/>
        </w:rPr>
        <w:t>In this context, it is therefore important to assert that t</w:t>
      </w:r>
      <w:r w:rsidR="00580444" w:rsidRPr="00772EED">
        <w:rPr>
          <w:rFonts w:asciiTheme="majorHAnsi" w:eastAsia="Times New Roman" w:hAnsiTheme="majorHAnsi" w:cs="Garamond"/>
          <w:lang w:val="en-US"/>
        </w:rPr>
        <w:t>he principles of the Hyogo Framework for Action</w:t>
      </w:r>
      <w:r>
        <w:rPr>
          <w:rFonts w:asciiTheme="majorHAnsi" w:eastAsia="Times New Roman" w:hAnsiTheme="majorHAnsi" w:cs="Garamond"/>
          <w:lang w:val="en-US"/>
        </w:rPr>
        <w:t xml:space="preserve"> can </w:t>
      </w:r>
      <w:r w:rsidR="00580444" w:rsidRPr="00772EED">
        <w:rPr>
          <w:rFonts w:asciiTheme="majorHAnsi" w:eastAsia="Times New Roman" w:hAnsiTheme="majorHAnsi" w:cs="Garamond"/>
          <w:lang w:val="en-US"/>
        </w:rPr>
        <w:t xml:space="preserve">be interpreted as principles of implementation of the three categories of obligations that States are required to comply with </w:t>
      </w:r>
      <w:r w:rsidR="00CA7306" w:rsidRPr="00772EED">
        <w:rPr>
          <w:rFonts w:asciiTheme="majorHAnsi" w:eastAsia="Times New Roman" w:hAnsiTheme="majorHAnsi" w:cs="Garamond"/>
          <w:lang w:val="en-US"/>
        </w:rPr>
        <w:t>respect to the enjoyment of all human rights</w:t>
      </w:r>
      <w:r w:rsidR="00F91246">
        <w:rPr>
          <w:rFonts w:asciiTheme="majorHAnsi" w:eastAsia="Times New Roman" w:hAnsiTheme="majorHAnsi" w:cs="Garamond"/>
          <w:lang w:val="en-US"/>
        </w:rPr>
        <w:t>,</w:t>
      </w:r>
      <w:r w:rsidR="00F91246" w:rsidRPr="00F91246">
        <w:rPr>
          <w:rFonts w:asciiTheme="majorHAnsi" w:eastAsia="Times New Roman" w:hAnsiTheme="majorHAnsi" w:cs="Garamond"/>
          <w:lang w:val="en-US"/>
        </w:rPr>
        <w:t xml:space="preserve"> </w:t>
      </w:r>
      <w:r w:rsidR="00F91246">
        <w:rPr>
          <w:rFonts w:asciiTheme="majorHAnsi" w:eastAsia="Times New Roman" w:hAnsiTheme="majorHAnsi" w:cs="Garamond"/>
          <w:lang w:val="en-US"/>
        </w:rPr>
        <w:t>namely</w:t>
      </w:r>
      <w:r w:rsidR="00F91246" w:rsidRPr="00772EED">
        <w:rPr>
          <w:rFonts w:asciiTheme="majorHAnsi" w:eastAsia="Times New Roman" w:hAnsiTheme="majorHAnsi" w:cs="Garamond"/>
          <w:lang w:val="en-US"/>
        </w:rPr>
        <w:t xml:space="preserve"> the obligation</w:t>
      </w:r>
      <w:r w:rsidR="00F91246">
        <w:rPr>
          <w:rFonts w:asciiTheme="majorHAnsi" w:eastAsia="Times New Roman" w:hAnsiTheme="majorHAnsi" w:cs="Garamond"/>
          <w:lang w:val="en-US"/>
        </w:rPr>
        <w:t>s</w:t>
      </w:r>
      <w:r w:rsidR="00F91246" w:rsidRPr="00772EED">
        <w:rPr>
          <w:rFonts w:asciiTheme="majorHAnsi" w:eastAsia="Times New Roman" w:hAnsiTheme="majorHAnsi" w:cs="Garamond"/>
          <w:lang w:val="en-US"/>
        </w:rPr>
        <w:t xml:space="preserve"> </w:t>
      </w:r>
      <w:r w:rsidR="00F91246" w:rsidRPr="00F91246">
        <w:rPr>
          <w:rFonts w:asciiTheme="majorHAnsi" w:eastAsia="Times New Roman" w:hAnsiTheme="majorHAnsi" w:cs="Garamond"/>
          <w:b/>
          <w:bCs/>
          <w:iCs/>
          <w:lang w:val="en-US"/>
        </w:rPr>
        <w:t>to respect, to protect and to fulfill</w:t>
      </w:r>
      <w:r w:rsidR="00F91246">
        <w:rPr>
          <w:rFonts w:asciiTheme="majorHAnsi" w:eastAsia="Times New Roman" w:hAnsiTheme="majorHAnsi" w:cs="Garamond"/>
          <w:lang w:val="en-US"/>
        </w:rPr>
        <w:t xml:space="preserve"> basic human rights. </w:t>
      </w:r>
    </w:p>
    <w:p w:rsidR="00F91246" w:rsidRDefault="00F91246" w:rsidP="00082467">
      <w:pPr>
        <w:autoSpaceDE w:val="0"/>
        <w:autoSpaceDN w:val="0"/>
        <w:adjustRightInd w:val="0"/>
        <w:jc w:val="both"/>
        <w:rPr>
          <w:rFonts w:asciiTheme="majorHAnsi" w:eastAsia="Times New Roman" w:hAnsiTheme="majorHAnsi" w:cs="Garamond"/>
          <w:lang w:val="en-US"/>
        </w:rPr>
      </w:pPr>
    </w:p>
    <w:p w:rsidR="00F91246" w:rsidRPr="00D927BB" w:rsidRDefault="00F91246" w:rsidP="00F91246">
      <w:pPr>
        <w:autoSpaceDE w:val="0"/>
        <w:autoSpaceDN w:val="0"/>
        <w:adjustRightInd w:val="0"/>
        <w:jc w:val="both"/>
        <w:rPr>
          <w:rFonts w:asciiTheme="majorHAnsi" w:eastAsia="Calibri" w:hAnsiTheme="majorHAnsi" w:cs="Times New Roman (Arabic)"/>
          <w:lang w:val="en-US"/>
        </w:rPr>
      </w:pPr>
      <w:r>
        <w:rPr>
          <w:rFonts w:asciiTheme="majorHAnsi" w:eastAsia="Calibri" w:hAnsiTheme="majorHAnsi" w:cs="Times New Roman (Arabic)"/>
          <w:lang w:val="en-US"/>
        </w:rPr>
        <w:t xml:space="preserve">The </w:t>
      </w:r>
      <w:r>
        <w:rPr>
          <w:rFonts w:asciiTheme="majorHAnsi" w:eastAsia="Calibri" w:hAnsiTheme="majorHAnsi" w:cs="Garamond"/>
          <w:b/>
          <w:bCs/>
          <w:lang w:val="en-US"/>
        </w:rPr>
        <w:t>obligation to r</w:t>
      </w:r>
      <w:r w:rsidRPr="00772EED">
        <w:rPr>
          <w:rFonts w:asciiTheme="majorHAnsi" w:eastAsia="Calibri" w:hAnsiTheme="majorHAnsi" w:cs="Garamond"/>
          <w:b/>
          <w:bCs/>
          <w:lang w:val="en-US"/>
        </w:rPr>
        <w:t>espect</w:t>
      </w:r>
      <w:r w:rsidRPr="00772EED">
        <w:rPr>
          <w:rFonts w:asciiTheme="majorHAnsi" w:eastAsia="Calibri" w:hAnsiTheme="majorHAnsi" w:cs="Garamond"/>
          <w:lang w:val="en-US"/>
        </w:rPr>
        <w:t xml:space="preserve"> </w:t>
      </w:r>
      <w:r w:rsidR="00803B63">
        <w:rPr>
          <w:rFonts w:asciiTheme="majorHAnsi" w:eastAsia="Calibri" w:hAnsiTheme="majorHAnsi" w:cs="Garamond"/>
          <w:lang w:val="en-US"/>
        </w:rPr>
        <w:t>can require</w:t>
      </w:r>
      <w:r w:rsidRPr="00772EED">
        <w:rPr>
          <w:rFonts w:asciiTheme="majorHAnsi" w:eastAsia="Calibri" w:hAnsiTheme="majorHAnsi" w:cs="Garamond"/>
          <w:lang w:val="en-US"/>
        </w:rPr>
        <w:t xml:space="preserve"> States </w:t>
      </w:r>
      <w:r>
        <w:rPr>
          <w:rFonts w:asciiTheme="majorHAnsi" w:eastAsia="Calibri" w:hAnsiTheme="majorHAnsi" w:cs="Garamond"/>
          <w:lang w:val="en-US"/>
        </w:rPr>
        <w:t>to</w:t>
      </w:r>
      <w:r w:rsidRPr="00772EED">
        <w:rPr>
          <w:rFonts w:asciiTheme="majorHAnsi" w:eastAsia="Calibri" w:hAnsiTheme="majorHAnsi" w:cs="Garamond"/>
          <w:lang w:val="en-US"/>
        </w:rPr>
        <w:t xml:space="preserve"> make sure they </w:t>
      </w:r>
      <w:r w:rsidRPr="00E451A2">
        <w:rPr>
          <w:rFonts w:asciiTheme="majorHAnsi" w:eastAsia="Calibri" w:hAnsiTheme="majorHAnsi" w:cs="Garamond"/>
          <w:lang w:val="en-US"/>
        </w:rPr>
        <w:t>do</w:t>
      </w:r>
      <w:r w:rsidR="00D927BB" w:rsidRPr="00E451A2">
        <w:rPr>
          <w:rFonts w:asciiTheme="majorHAnsi" w:eastAsia="Calibri" w:hAnsiTheme="majorHAnsi" w:cs="Garamond"/>
          <w:lang w:val="en-US"/>
        </w:rPr>
        <w:t xml:space="preserve"> not</w:t>
      </w:r>
      <w:r w:rsidRPr="00772EED">
        <w:rPr>
          <w:rFonts w:asciiTheme="majorHAnsi" w:eastAsia="Calibri" w:hAnsiTheme="majorHAnsi" w:cs="Garamond"/>
          <w:lang w:val="en-US"/>
        </w:rPr>
        <w:t xml:space="preserve"> prevent humanitarian workers to access the beneficiaries of prevention, mitigation &amp; adaptation measures.</w:t>
      </w:r>
      <w:r w:rsidRPr="0076148F">
        <w:rPr>
          <w:rFonts w:asciiTheme="majorHAnsi" w:eastAsia="Calibri" w:hAnsiTheme="majorHAnsi" w:cs="Garamond"/>
          <w:b/>
          <w:bCs/>
          <w:lang w:val="en-US"/>
        </w:rPr>
        <w:t xml:space="preserve"> </w:t>
      </w:r>
      <w:r w:rsidRPr="0076148F">
        <w:rPr>
          <w:rFonts w:asciiTheme="majorHAnsi" w:eastAsia="Calibri" w:hAnsiTheme="majorHAnsi" w:cs="Garamond"/>
          <w:bCs/>
          <w:lang w:val="en-US"/>
        </w:rPr>
        <w:t xml:space="preserve">The </w:t>
      </w:r>
      <w:r>
        <w:rPr>
          <w:rFonts w:asciiTheme="majorHAnsi" w:eastAsia="Calibri" w:hAnsiTheme="majorHAnsi" w:cs="Garamond"/>
          <w:b/>
          <w:bCs/>
          <w:lang w:val="en-US"/>
        </w:rPr>
        <w:t>obligation to p</w:t>
      </w:r>
      <w:r w:rsidRPr="0076148F">
        <w:rPr>
          <w:rFonts w:asciiTheme="majorHAnsi" w:eastAsia="Calibri" w:hAnsiTheme="majorHAnsi" w:cs="Garamond"/>
          <w:b/>
          <w:bCs/>
          <w:lang w:val="en-US"/>
        </w:rPr>
        <w:t>rotect</w:t>
      </w:r>
      <w:r w:rsidRPr="0076148F">
        <w:rPr>
          <w:rFonts w:asciiTheme="majorHAnsi" w:eastAsia="Calibri" w:hAnsiTheme="majorHAnsi" w:cs="Garamond"/>
          <w:bCs/>
          <w:lang w:val="en-US"/>
        </w:rPr>
        <w:t xml:space="preserve"> their local population fro</w:t>
      </w:r>
      <w:r>
        <w:rPr>
          <w:rFonts w:asciiTheme="majorHAnsi" w:eastAsia="Calibri" w:hAnsiTheme="majorHAnsi" w:cs="Garamond"/>
          <w:bCs/>
          <w:lang w:val="en-US"/>
        </w:rPr>
        <w:t>m infringements on their human r</w:t>
      </w:r>
      <w:r w:rsidRPr="0076148F">
        <w:rPr>
          <w:rFonts w:asciiTheme="majorHAnsi" w:eastAsia="Calibri" w:hAnsiTheme="majorHAnsi" w:cs="Garamond"/>
          <w:bCs/>
          <w:lang w:val="en-US"/>
        </w:rPr>
        <w:t>ights</w:t>
      </w:r>
      <w:r w:rsidR="00803B63">
        <w:rPr>
          <w:rFonts w:asciiTheme="majorHAnsi" w:eastAsia="Calibri" w:hAnsiTheme="majorHAnsi" w:cs="Garamond"/>
          <w:bCs/>
          <w:lang w:val="en-US"/>
        </w:rPr>
        <w:t xml:space="preserve"> can require</w:t>
      </w:r>
      <w:r>
        <w:rPr>
          <w:rFonts w:asciiTheme="majorHAnsi" w:eastAsia="Calibri" w:hAnsiTheme="majorHAnsi" w:cs="Garamond"/>
          <w:bCs/>
          <w:lang w:val="en-US"/>
        </w:rPr>
        <w:t xml:space="preserve"> States to ensure that DRR is national priority (cf. HFA Priority 1). It</w:t>
      </w:r>
      <w:r w:rsidR="00803B63">
        <w:rPr>
          <w:rFonts w:asciiTheme="majorHAnsi" w:eastAsia="Calibri" w:hAnsiTheme="majorHAnsi" w:cs="Garamond"/>
          <w:bCs/>
          <w:lang w:val="en-US"/>
        </w:rPr>
        <w:t xml:space="preserve"> also requires </w:t>
      </w:r>
      <w:r w:rsidR="00803B63" w:rsidRPr="00E451A2">
        <w:rPr>
          <w:rFonts w:asciiTheme="majorHAnsi" w:eastAsia="Calibri" w:hAnsiTheme="majorHAnsi" w:cs="Garamond"/>
          <w:bCs/>
          <w:lang w:val="en-US"/>
        </w:rPr>
        <w:t>State</w:t>
      </w:r>
      <w:r w:rsidR="00D927BB" w:rsidRPr="00E451A2">
        <w:rPr>
          <w:rFonts w:asciiTheme="majorHAnsi" w:eastAsia="Calibri" w:hAnsiTheme="majorHAnsi" w:cs="Garamond"/>
          <w:bCs/>
          <w:lang w:val="en-US"/>
        </w:rPr>
        <w:t>s</w:t>
      </w:r>
      <w:r w:rsidRPr="00E451A2">
        <w:rPr>
          <w:rFonts w:asciiTheme="majorHAnsi" w:eastAsia="Calibri" w:hAnsiTheme="majorHAnsi" w:cs="Garamond"/>
          <w:bCs/>
          <w:lang w:val="en-US"/>
        </w:rPr>
        <w:t xml:space="preserve"> to identify, assess and monitor disaster risks and enhance early warning (cf. HFA Priority</w:t>
      </w:r>
      <w:r>
        <w:rPr>
          <w:rFonts w:asciiTheme="majorHAnsi" w:eastAsia="Calibri" w:hAnsiTheme="majorHAnsi" w:cs="Garamond"/>
          <w:bCs/>
          <w:lang w:val="en-US"/>
        </w:rPr>
        <w:t xml:space="preserve"> 2). Finally, the </w:t>
      </w:r>
      <w:r w:rsidRPr="008F32F0">
        <w:rPr>
          <w:rFonts w:asciiTheme="majorHAnsi" w:eastAsia="Calibri" w:hAnsiTheme="majorHAnsi" w:cs="Garamond"/>
          <w:b/>
          <w:bCs/>
          <w:lang w:val="en-US"/>
        </w:rPr>
        <w:t>obligation to fulfill</w:t>
      </w:r>
      <w:r>
        <w:rPr>
          <w:rFonts w:asciiTheme="majorHAnsi" w:eastAsia="Calibri" w:hAnsiTheme="majorHAnsi" w:cs="Garamond"/>
          <w:bCs/>
          <w:lang w:val="en-US"/>
        </w:rPr>
        <w:t xml:space="preserve"> basic human rights </w:t>
      </w:r>
      <w:r w:rsidR="00803B63">
        <w:rPr>
          <w:rFonts w:asciiTheme="majorHAnsi" w:eastAsia="Calibri" w:hAnsiTheme="majorHAnsi" w:cs="Garamond"/>
          <w:bCs/>
          <w:lang w:val="en-US"/>
        </w:rPr>
        <w:t>can require</w:t>
      </w:r>
      <w:r>
        <w:rPr>
          <w:rFonts w:asciiTheme="majorHAnsi" w:eastAsia="Calibri" w:hAnsiTheme="majorHAnsi" w:cs="Garamond"/>
          <w:bCs/>
          <w:lang w:val="en-US"/>
        </w:rPr>
        <w:t xml:space="preserve"> States to allocate budget resources to improve knowledge, innovation, as well as reduction of underlying risk factors (cf. </w:t>
      </w:r>
      <w:r>
        <w:rPr>
          <w:rFonts w:asciiTheme="majorHAnsi" w:eastAsia="Calibri" w:hAnsiTheme="majorHAnsi" w:cs="Garamond"/>
          <w:bCs/>
          <w:lang w:val="en-US"/>
        </w:rPr>
        <w:lastRenderedPageBreak/>
        <w:t xml:space="preserve">HFA Priority 3 and </w:t>
      </w:r>
      <w:r w:rsidRPr="00E451A2">
        <w:rPr>
          <w:rFonts w:asciiTheme="majorHAnsi" w:eastAsia="Calibri" w:hAnsiTheme="majorHAnsi" w:cs="Garamond"/>
          <w:bCs/>
          <w:lang w:val="en-US"/>
        </w:rPr>
        <w:t>4)</w:t>
      </w:r>
      <w:r w:rsidR="00147DA7" w:rsidRPr="00E451A2">
        <w:rPr>
          <w:rFonts w:asciiTheme="majorHAnsi" w:eastAsia="Calibri" w:hAnsiTheme="majorHAnsi" w:cs="Garamond"/>
          <w:bCs/>
          <w:lang w:val="en-US"/>
        </w:rPr>
        <w:t xml:space="preserve"> including imposing some budget priorities on those subjects</w:t>
      </w:r>
      <w:r w:rsidR="00D927BB" w:rsidRPr="00E451A2">
        <w:rPr>
          <w:rFonts w:asciiTheme="majorHAnsi" w:eastAsia="Calibri" w:hAnsiTheme="majorHAnsi" w:cs="Garamond"/>
          <w:bCs/>
          <w:lang w:val="en-US"/>
        </w:rPr>
        <w:t>, possibly</w:t>
      </w:r>
      <w:r w:rsidR="00D927BB" w:rsidRPr="00E451A2">
        <w:rPr>
          <w:rFonts w:ascii="Arial" w:hAnsi="Arial" w:cs="Arial"/>
          <w:sz w:val="32"/>
          <w:szCs w:val="32"/>
          <w:lang w:val="en-US"/>
        </w:rPr>
        <w:t xml:space="preserve"> </w:t>
      </w:r>
      <w:r w:rsidR="00D927BB" w:rsidRPr="00E451A2">
        <w:rPr>
          <w:rFonts w:asciiTheme="majorHAnsi" w:hAnsiTheme="majorHAnsi" w:cs="Arial"/>
          <w:szCs w:val="32"/>
          <w:lang w:val="en-US"/>
        </w:rPr>
        <w:t xml:space="preserve">involving budget cuts on other items if the priority of the implementation </w:t>
      </w:r>
      <w:r w:rsidR="00E451A2">
        <w:rPr>
          <w:rFonts w:asciiTheme="majorHAnsi" w:hAnsiTheme="majorHAnsi" w:cs="Arial"/>
          <w:szCs w:val="32"/>
          <w:lang w:val="en-US"/>
        </w:rPr>
        <w:t xml:space="preserve">as a matter </w:t>
      </w:r>
      <w:r w:rsidR="00D927BB" w:rsidRPr="00E451A2">
        <w:rPr>
          <w:rFonts w:asciiTheme="majorHAnsi" w:hAnsiTheme="majorHAnsi" w:cs="Arial"/>
          <w:szCs w:val="32"/>
          <w:lang w:val="en-US"/>
        </w:rPr>
        <w:t xml:space="preserve">of human rights is </w:t>
      </w:r>
      <w:r w:rsidR="00E451A2">
        <w:rPr>
          <w:rFonts w:asciiTheme="majorHAnsi" w:hAnsiTheme="majorHAnsi" w:cs="Arial"/>
          <w:szCs w:val="32"/>
          <w:lang w:val="en-US"/>
        </w:rPr>
        <w:t>acknowledged</w:t>
      </w:r>
      <w:r w:rsidR="00D927BB" w:rsidRPr="00E451A2">
        <w:rPr>
          <w:rFonts w:asciiTheme="majorHAnsi" w:hAnsiTheme="majorHAnsi" w:cs="Arial"/>
          <w:szCs w:val="32"/>
          <w:lang w:val="en-US"/>
        </w:rPr>
        <w:t>.</w:t>
      </w:r>
    </w:p>
    <w:p w:rsidR="00B65C43" w:rsidRPr="00D927BB" w:rsidRDefault="00B65C43" w:rsidP="00082467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 (Arabic)"/>
          <w:lang w:val="en-US"/>
        </w:rPr>
      </w:pPr>
    </w:p>
    <w:p w:rsidR="00803B63" w:rsidRDefault="00803B63" w:rsidP="00082467">
      <w:pPr>
        <w:autoSpaceDE w:val="0"/>
        <w:autoSpaceDN w:val="0"/>
        <w:adjustRightInd w:val="0"/>
        <w:jc w:val="both"/>
        <w:rPr>
          <w:rFonts w:asciiTheme="majorHAnsi" w:eastAsia="Times New Roman" w:hAnsiTheme="majorHAnsi" w:cs="Garamond"/>
          <w:lang w:val="en-US"/>
        </w:rPr>
      </w:pPr>
      <w:r>
        <w:rPr>
          <w:rFonts w:asciiTheme="majorHAnsi" w:eastAsia="Times New Roman" w:hAnsiTheme="majorHAnsi" w:cs="Garamond"/>
          <w:lang w:val="en-US"/>
        </w:rPr>
        <w:t>Further,</w:t>
      </w:r>
      <w:r w:rsidRPr="00772EED">
        <w:rPr>
          <w:rFonts w:asciiTheme="majorHAnsi" w:eastAsia="Times New Roman" w:hAnsiTheme="majorHAnsi" w:cs="Garamond"/>
          <w:lang w:val="en-US"/>
        </w:rPr>
        <w:t xml:space="preserve"> </w:t>
      </w:r>
      <w:r>
        <w:rPr>
          <w:rFonts w:asciiTheme="majorHAnsi" w:eastAsia="Times New Roman" w:hAnsiTheme="majorHAnsi" w:cs="Garamond"/>
          <w:lang w:val="en-US"/>
        </w:rPr>
        <w:t>human rights obligations of States have a clear impact in terms of process</w:t>
      </w:r>
      <w:r w:rsidR="00B52745">
        <w:rPr>
          <w:rFonts w:asciiTheme="majorHAnsi" w:eastAsia="Times New Roman" w:hAnsiTheme="majorHAnsi" w:cs="Garamond"/>
          <w:lang w:val="en-US"/>
        </w:rPr>
        <w:t>es, procedures and institutions</w:t>
      </w:r>
      <w:r>
        <w:rPr>
          <w:rFonts w:asciiTheme="majorHAnsi" w:eastAsia="Times New Roman" w:hAnsiTheme="majorHAnsi" w:cs="Garamond"/>
          <w:lang w:val="en-US"/>
        </w:rPr>
        <w:t xml:space="preserve">. </w:t>
      </w:r>
      <w:r w:rsidR="00B52745" w:rsidRPr="00B52745">
        <w:rPr>
          <w:rFonts w:asciiTheme="majorHAnsi" w:eastAsia="Times New Roman" w:hAnsiTheme="majorHAnsi" w:cs="Garamond"/>
          <w:b/>
          <w:lang w:val="en-US"/>
        </w:rPr>
        <w:t>Human Rights p</w:t>
      </w:r>
      <w:r w:rsidRPr="00B52745">
        <w:rPr>
          <w:rFonts w:asciiTheme="majorHAnsi" w:eastAsia="Times New Roman" w:hAnsiTheme="majorHAnsi" w:cs="Garamond"/>
          <w:b/>
          <w:lang w:val="en-US"/>
        </w:rPr>
        <w:t>rocedural rights guarantee</w:t>
      </w:r>
      <w:r w:rsidR="00B52745" w:rsidRPr="00B52745">
        <w:rPr>
          <w:rFonts w:asciiTheme="majorHAnsi" w:eastAsia="Times New Roman" w:hAnsiTheme="majorHAnsi" w:cs="Garamond"/>
          <w:b/>
          <w:lang w:val="en-US"/>
        </w:rPr>
        <w:t>s</w:t>
      </w:r>
      <w:r>
        <w:rPr>
          <w:rFonts w:asciiTheme="majorHAnsi" w:eastAsia="Times New Roman" w:hAnsiTheme="majorHAnsi" w:cs="Garamond"/>
          <w:lang w:val="en-US"/>
        </w:rPr>
        <w:t xml:space="preserve"> </w:t>
      </w:r>
      <w:r w:rsidR="00B52745">
        <w:rPr>
          <w:rFonts w:asciiTheme="majorHAnsi" w:eastAsia="Times New Roman" w:hAnsiTheme="majorHAnsi" w:cs="Garamond"/>
          <w:lang w:val="en-US"/>
        </w:rPr>
        <w:t xml:space="preserve">can </w:t>
      </w:r>
      <w:r>
        <w:rPr>
          <w:rFonts w:asciiTheme="majorHAnsi" w:eastAsia="Times New Roman" w:hAnsiTheme="majorHAnsi" w:cs="Garamond"/>
          <w:lang w:val="en-US"/>
        </w:rPr>
        <w:t xml:space="preserve">require </w:t>
      </w:r>
      <w:r w:rsidRPr="00772EED">
        <w:rPr>
          <w:rFonts w:asciiTheme="majorHAnsi" w:eastAsia="Times New Roman" w:hAnsiTheme="majorHAnsi" w:cs="Garamond"/>
          <w:lang w:val="en-US"/>
        </w:rPr>
        <w:t>State</w:t>
      </w:r>
      <w:r w:rsidRPr="00B65C43">
        <w:rPr>
          <w:rFonts w:asciiTheme="majorHAnsi" w:eastAsia="Times New Roman" w:hAnsiTheme="majorHAnsi" w:cs="Garamond"/>
          <w:lang w:val="en-US"/>
        </w:rPr>
        <w:t xml:space="preserve">s to </w:t>
      </w:r>
      <w:r w:rsidRPr="00B61796">
        <w:rPr>
          <w:rFonts w:asciiTheme="majorHAnsi" w:eastAsia="Times New Roman" w:hAnsiTheme="majorHAnsi" w:cs="Garamond"/>
          <w:lang w:val="en-US"/>
        </w:rPr>
        <w:t>inform and provide adequate education to their population</w:t>
      </w:r>
      <w:r>
        <w:rPr>
          <w:rFonts w:asciiTheme="majorHAnsi" w:eastAsia="Times New Roman" w:hAnsiTheme="majorHAnsi" w:cs="Garamond"/>
          <w:lang w:val="en-US"/>
        </w:rPr>
        <w:t>,</w:t>
      </w:r>
      <w:r w:rsidRPr="00B61796">
        <w:rPr>
          <w:rFonts w:asciiTheme="majorHAnsi" w:eastAsia="Times New Roman" w:hAnsiTheme="majorHAnsi" w:cs="Garamond"/>
          <w:lang w:val="en-US"/>
        </w:rPr>
        <w:t xml:space="preserve"> </w:t>
      </w:r>
      <w:r w:rsidRPr="00772EED">
        <w:rPr>
          <w:rFonts w:asciiTheme="majorHAnsi" w:eastAsia="Calibri" w:hAnsiTheme="majorHAnsi" w:cs="Garamond"/>
          <w:lang w:val="en-US"/>
        </w:rPr>
        <w:t>in particular affected populations</w:t>
      </w:r>
      <w:r w:rsidRPr="00B61796">
        <w:rPr>
          <w:rFonts w:asciiTheme="majorHAnsi" w:eastAsia="Times New Roman" w:hAnsiTheme="majorHAnsi" w:cs="Garamond"/>
          <w:lang w:val="en-US"/>
        </w:rPr>
        <w:t xml:space="preserve"> </w:t>
      </w:r>
      <w:r>
        <w:rPr>
          <w:rFonts w:asciiTheme="majorHAnsi" w:eastAsia="Times New Roman" w:hAnsiTheme="majorHAnsi" w:cs="Garamond"/>
          <w:lang w:val="en-US"/>
        </w:rPr>
        <w:t xml:space="preserve">and vulnerable groups </w:t>
      </w:r>
      <w:r w:rsidR="00B52745">
        <w:rPr>
          <w:rFonts w:asciiTheme="majorHAnsi" w:eastAsia="Times New Roman" w:hAnsiTheme="majorHAnsi" w:cs="Garamond"/>
          <w:lang w:val="en-US"/>
        </w:rPr>
        <w:t xml:space="preserve">in the field of DRR and climate change </w:t>
      </w:r>
      <w:r w:rsidRPr="00B61796">
        <w:rPr>
          <w:rFonts w:asciiTheme="majorHAnsi" w:eastAsia="Times New Roman" w:hAnsiTheme="majorHAnsi" w:cs="Garamond"/>
          <w:lang w:val="en-US"/>
        </w:rPr>
        <w:t>(cf.</w:t>
      </w:r>
      <w:r>
        <w:rPr>
          <w:rFonts w:asciiTheme="majorHAnsi" w:eastAsia="Times New Roman" w:hAnsiTheme="majorHAnsi" w:cs="Garamond"/>
          <w:b/>
          <w:lang w:val="en-US"/>
        </w:rPr>
        <w:t xml:space="preserve"> right to access information</w:t>
      </w:r>
      <w:r w:rsidRPr="00B61796">
        <w:rPr>
          <w:rFonts w:asciiTheme="majorHAnsi" w:eastAsia="Times New Roman" w:hAnsiTheme="majorHAnsi" w:cs="Garamond"/>
          <w:lang w:val="en-US"/>
        </w:rPr>
        <w:t>)</w:t>
      </w:r>
      <w:r>
        <w:rPr>
          <w:rFonts w:asciiTheme="majorHAnsi" w:eastAsia="Calibri" w:hAnsiTheme="majorHAnsi" w:cs="Garamond"/>
          <w:lang w:val="en-US"/>
        </w:rPr>
        <w:t xml:space="preserve">. They also </w:t>
      </w:r>
      <w:r w:rsidR="00B52745">
        <w:rPr>
          <w:rFonts w:asciiTheme="majorHAnsi" w:eastAsia="Calibri" w:hAnsiTheme="majorHAnsi" w:cs="Garamond"/>
          <w:lang w:val="en-US"/>
        </w:rPr>
        <w:t xml:space="preserve">can </w:t>
      </w:r>
      <w:r>
        <w:rPr>
          <w:rFonts w:asciiTheme="majorHAnsi" w:eastAsia="Calibri" w:hAnsiTheme="majorHAnsi" w:cs="Garamond"/>
          <w:lang w:val="en-US"/>
        </w:rPr>
        <w:t xml:space="preserve">require </w:t>
      </w:r>
      <w:r>
        <w:rPr>
          <w:rFonts w:asciiTheme="majorHAnsi" w:eastAsia="Times New Roman" w:hAnsiTheme="majorHAnsi" w:cs="Garamond"/>
          <w:lang w:val="en-US"/>
        </w:rPr>
        <w:t>population’s</w:t>
      </w:r>
      <w:r w:rsidRPr="00B65C43">
        <w:rPr>
          <w:rFonts w:asciiTheme="majorHAnsi" w:eastAsia="Times New Roman" w:hAnsiTheme="majorHAnsi" w:cs="Garamond"/>
          <w:lang w:val="en-US"/>
        </w:rPr>
        <w:t xml:space="preserve"> involve</w:t>
      </w:r>
      <w:r>
        <w:rPr>
          <w:rFonts w:asciiTheme="majorHAnsi" w:eastAsia="Times New Roman" w:hAnsiTheme="majorHAnsi" w:cs="Garamond"/>
          <w:lang w:val="en-US"/>
        </w:rPr>
        <w:t>ment i</w:t>
      </w:r>
      <w:r w:rsidRPr="00772EED">
        <w:rPr>
          <w:rFonts w:asciiTheme="majorHAnsi" w:eastAsia="Times New Roman" w:hAnsiTheme="majorHAnsi" w:cs="Garamond"/>
          <w:lang w:val="en-US"/>
        </w:rPr>
        <w:t xml:space="preserve">n the development of policies </w:t>
      </w:r>
      <w:r>
        <w:rPr>
          <w:rFonts w:asciiTheme="majorHAnsi" w:eastAsia="Times New Roman" w:hAnsiTheme="majorHAnsi" w:cs="Garamond"/>
          <w:lang w:val="en-US"/>
        </w:rPr>
        <w:t>(cf.</w:t>
      </w:r>
      <w:r w:rsidRPr="00B61796">
        <w:rPr>
          <w:rFonts w:asciiTheme="majorHAnsi" w:eastAsia="Times New Roman" w:hAnsiTheme="majorHAnsi" w:cs="Garamond"/>
          <w:b/>
          <w:lang w:val="en-US"/>
        </w:rPr>
        <w:t xml:space="preserve"> right to participation</w:t>
      </w:r>
      <w:r>
        <w:rPr>
          <w:rFonts w:asciiTheme="majorHAnsi" w:eastAsia="Times New Roman" w:hAnsiTheme="majorHAnsi" w:cs="Garamond"/>
          <w:lang w:val="en-US"/>
        </w:rPr>
        <w:t>) as well as</w:t>
      </w:r>
      <w:r w:rsidRPr="00772EED">
        <w:rPr>
          <w:rFonts w:asciiTheme="majorHAnsi" w:eastAsia="Times New Roman" w:hAnsiTheme="majorHAnsi" w:cs="Garamond"/>
          <w:lang w:val="en-US"/>
        </w:rPr>
        <w:t xml:space="preserve"> the monitoring of their implementation through </w:t>
      </w:r>
      <w:r>
        <w:rPr>
          <w:rFonts w:asciiTheme="majorHAnsi" w:eastAsia="Times New Roman" w:hAnsiTheme="majorHAnsi" w:cs="Garamond"/>
          <w:lang w:val="en-US"/>
        </w:rPr>
        <w:t xml:space="preserve">effective </w:t>
      </w:r>
      <w:r w:rsidRPr="00772EED">
        <w:rPr>
          <w:rFonts w:asciiTheme="majorHAnsi" w:eastAsia="Times New Roman" w:hAnsiTheme="majorHAnsi" w:cs="Garamond"/>
          <w:lang w:val="en-US"/>
        </w:rPr>
        <w:t>accountability</w:t>
      </w:r>
      <w:r>
        <w:rPr>
          <w:rFonts w:asciiTheme="majorHAnsi" w:eastAsia="Times New Roman" w:hAnsiTheme="majorHAnsi" w:cs="Garamond"/>
          <w:lang w:val="en-US"/>
        </w:rPr>
        <w:t xml:space="preserve"> mechanisms (cf. </w:t>
      </w:r>
      <w:r w:rsidRPr="00B61796">
        <w:rPr>
          <w:rFonts w:asciiTheme="majorHAnsi" w:eastAsia="Times New Roman" w:hAnsiTheme="majorHAnsi" w:cs="Garamond"/>
          <w:b/>
          <w:lang w:val="en-US"/>
        </w:rPr>
        <w:t>right to remedy</w:t>
      </w:r>
      <w:r>
        <w:rPr>
          <w:rFonts w:asciiTheme="majorHAnsi" w:eastAsia="Times New Roman" w:hAnsiTheme="majorHAnsi" w:cs="Garamond"/>
          <w:lang w:val="en-US"/>
        </w:rPr>
        <w:t xml:space="preserve">). </w:t>
      </w:r>
    </w:p>
    <w:p w:rsidR="00803B63" w:rsidRDefault="00803B63" w:rsidP="00082467">
      <w:pPr>
        <w:autoSpaceDE w:val="0"/>
        <w:autoSpaceDN w:val="0"/>
        <w:adjustRightInd w:val="0"/>
        <w:jc w:val="both"/>
        <w:rPr>
          <w:rFonts w:asciiTheme="majorHAnsi" w:eastAsia="Times New Roman" w:hAnsiTheme="majorHAnsi" w:cs="Garamond"/>
          <w:lang w:val="en-US"/>
        </w:rPr>
      </w:pPr>
    </w:p>
    <w:p w:rsidR="00580444" w:rsidRDefault="00B65C43" w:rsidP="00082467">
      <w:pPr>
        <w:autoSpaceDE w:val="0"/>
        <w:autoSpaceDN w:val="0"/>
        <w:adjustRightInd w:val="0"/>
        <w:jc w:val="both"/>
        <w:rPr>
          <w:rFonts w:asciiTheme="majorHAnsi" w:eastAsia="Calibri" w:hAnsiTheme="majorHAnsi" w:cs="Times New Roman (Arabic)"/>
          <w:lang w:val="en-US"/>
        </w:rPr>
      </w:pPr>
      <w:r>
        <w:rPr>
          <w:rFonts w:asciiTheme="majorHAnsi" w:eastAsia="Calibri" w:hAnsiTheme="majorHAnsi" w:cs="Times New Roman (Arabic)"/>
          <w:lang w:val="en-US"/>
        </w:rPr>
        <w:t>As a result</w:t>
      </w:r>
      <w:r w:rsidR="00580444" w:rsidRPr="00772EED">
        <w:rPr>
          <w:rFonts w:asciiTheme="majorHAnsi" w:eastAsia="Calibri" w:hAnsiTheme="majorHAnsi" w:cs="Times New Roman (Arabic)"/>
          <w:lang w:val="en-US"/>
        </w:rPr>
        <w:t xml:space="preserve">, DRR </w:t>
      </w:r>
      <w:r w:rsidR="00803B63">
        <w:rPr>
          <w:rFonts w:asciiTheme="majorHAnsi" w:eastAsia="Calibri" w:hAnsiTheme="majorHAnsi" w:cs="Times New Roman (Arabic)"/>
          <w:lang w:val="en-US"/>
        </w:rPr>
        <w:t>can become</w:t>
      </w:r>
      <w:r w:rsidR="00580444" w:rsidRPr="00772EED">
        <w:rPr>
          <w:rFonts w:asciiTheme="majorHAnsi" w:eastAsia="Calibri" w:hAnsiTheme="majorHAnsi" w:cs="Times New Roman (Arabic)"/>
          <w:lang w:val="en-US"/>
        </w:rPr>
        <w:t xml:space="preserve"> a matter of complying with legal commitments signed upon under international law, and Governments cannot simply take a few steps without clearly presenting how DRR fits into the overall development strategy of the country as a priority to comply with human rights.</w:t>
      </w:r>
    </w:p>
    <w:p w:rsidR="00F91246" w:rsidRDefault="00F91246" w:rsidP="00580444">
      <w:pPr>
        <w:spacing w:line="276" w:lineRule="auto"/>
        <w:jc w:val="both"/>
        <w:rPr>
          <w:rFonts w:asciiTheme="majorHAnsi" w:eastAsia="Times New Roman" w:hAnsiTheme="majorHAnsi" w:cs="Garamond"/>
          <w:lang w:val="en-US"/>
        </w:rPr>
      </w:pPr>
    </w:p>
    <w:p w:rsidR="000A104B" w:rsidRPr="00803B63" w:rsidRDefault="00803B63" w:rsidP="00580444">
      <w:pPr>
        <w:spacing w:line="276" w:lineRule="auto"/>
        <w:jc w:val="both"/>
        <w:rPr>
          <w:rFonts w:asciiTheme="majorHAnsi" w:eastAsia="Times New Roman" w:hAnsiTheme="majorHAnsi" w:cs="Garamond"/>
          <w:b/>
          <w:lang w:val="en-US"/>
        </w:rPr>
      </w:pPr>
      <w:r w:rsidRPr="00803B63">
        <w:rPr>
          <w:rFonts w:asciiTheme="majorHAnsi" w:eastAsia="Times New Roman" w:hAnsiTheme="majorHAnsi" w:cs="Garamond"/>
          <w:b/>
          <w:lang w:val="en-US"/>
        </w:rPr>
        <w:t xml:space="preserve">As a conclusion, </w:t>
      </w:r>
      <w:proofErr w:type="spellStart"/>
      <w:r w:rsidR="0076148F" w:rsidRPr="00803B63">
        <w:rPr>
          <w:rFonts w:asciiTheme="majorHAnsi" w:eastAsia="Times New Roman" w:hAnsiTheme="majorHAnsi" w:cs="Garamond"/>
          <w:b/>
          <w:lang w:val="en-US"/>
        </w:rPr>
        <w:t>WaterLex</w:t>
      </w:r>
      <w:proofErr w:type="spellEnd"/>
      <w:r w:rsidR="0076148F" w:rsidRPr="00803B63">
        <w:rPr>
          <w:rFonts w:asciiTheme="majorHAnsi" w:eastAsia="Times New Roman" w:hAnsiTheme="majorHAnsi" w:cs="Garamond"/>
          <w:b/>
          <w:lang w:val="en-US"/>
        </w:rPr>
        <w:t xml:space="preserve"> </w:t>
      </w:r>
      <w:r w:rsidR="00B61796" w:rsidRPr="00803B63">
        <w:rPr>
          <w:rFonts w:asciiTheme="majorHAnsi" w:eastAsia="Times New Roman" w:hAnsiTheme="majorHAnsi" w:cs="Garamond"/>
          <w:b/>
          <w:lang w:val="en-US"/>
        </w:rPr>
        <w:t>the</w:t>
      </w:r>
      <w:r w:rsidR="00080285" w:rsidRPr="00803B63">
        <w:rPr>
          <w:rFonts w:asciiTheme="majorHAnsi" w:eastAsia="Times New Roman" w:hAnsiTheme="majorHAnsi" w:cs="Garamond"/>
          <w:b/>
          <w:lang w:val="en-US"/>
        </w:rPr>
        <w:t>refore</w:t>
      </w:r>
      <w:r w:rsidR="000A104B" w:rsidRPr="00803B63">
        <w:rPr>
          <w:rFonts w:asciiTheme="majorHAnsi" w:eastAsia="Times New Roman" w:hAnsiTheme="majorHAnsi" w:cs="Garamond"/>
          <w:b/>
          <w:lang w:val="en-US"/>
        </w:rPr>
        <w:t xml:space="preserve"> recommends:</w:t>
      </w:r>
    </w:p>
    <w:p w:rsidR="00002493" w:rsidRPr="00803B63" w:rsidRDefault="000A104B" w:rsidP="000A104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eastAsia="Times New Roman" w:hAnsiTheme="majorHAnsi" w:cs="Garamond"/>
          <w:b/>
          <w:lang w:val="en-US"/>
        </w:rPr>
      </w:pPr>
      <w:r w:rsidRPr="00803B63">
        <w:rPr>
          <w:rFonts w:asciiTheme="majorHAnsi" w:eastAsia="Times New Roman" w:hAnsiTheme="majorHAnsi" w:cs="Garamond"/>
          <w:b/>
          <w:lang w:val="en-US"/>
        </w:rPr>
        <w:t>T</w:t>
      </w:r>
      <w:r w:rsidR="00B61796" w:rsidRPr="00803B63">
        <w:rPr>
          <w:rFonts w:asciiTheme="majorHAnsi" w:eastAsia="Times New Roman" w:hAnsiTheme="majorHAnsi" w:cs="Garamond"/>
          <w:b/>
          <w:lang w:val="en-US"/>
        </w:rPr>
        <w:t xml:space="preserve">he acknowledgment </w:t>
      </w:r>
      <w:r w:rsidRPr="00803B63">
        <w:rPr>
          <w:rFonts w:asciiTheme="majorHAnsi" w:eastAsia="Times New Roman" w:hAnsiTheme="majorHAnsi" w:cs="Garamond"/>
          <w:b/>
          <w:lang w:val="en-US"/>
        </w:rPr>
        <w:t xml:space="preserve">by States of the DRR component within their obligations to </w:t>
      </w:r>
      <w:r w:rsidR="00002493" w:rsidRPr="00803B63">
        <w:rPr>
          <w:rFonts w:asciiTheme="majorHAnsi" w:eastAsia="Times New Roman" w:hAnsiTheme="majorHAnsi" w:cs="Garamond"/>
          <w:b/>
          <w:lang w:val="en-US"/>
        </w:rPr>
        <w:t xml:space="preserve">respect, </w:t>
      </w:r>
      <w:r w:rsidRPr="00803B63">
        <w:rPr>
          <w:rFonts w:asciiTheme="majorHAnsi" w:eastAsia="Times New Roman" w:hAnsiTheme="majorHAnsi" w:cs="Garamond"/>
          <w:b/>
          <w:lang w:val="en-US"/>
        </w:rPr>
        <w:t>protect</w:t>
      </w:r>
      <w:r w:rsidR="00002493" w:rsidRPr="00803B63">
        <w:rPr>
          <w:rFonts w:asciiTheme="majorHAnsi" w:eastAsia="Times New Roman" w:hAnsiTheme="majorHAnsi" w:cs="Garamond"/>
          <w:b/>
          <w:lang w:val="en-US"/>
        </w:rPr>
        <w:t xml:space="preserve"> and fulfill basic human rights of their local population.</w:t>
      </w:r>
    </w:p>
    <w:p w:rsidR="00411469" w:rsidRPr="00803B63" w:rsidRDefault="00002493" w:rsidP="00E451A2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eastAsia="Times New Roman" w:hAnsiTheme="majorHAnsi" w:cs="Garamond"/>
          <w:b/>
          <w:lang w:val="en-US"/>
        </w:rPr>
      </w:pPr>
      <w:r w:rsidRPr="00E451A2">
        <w:rPr>
          <w:rFonts w:asciiTheme="majorHAnsi" w:eastAsia="Times New Roman" w:hAnsiTheme="majorHAnsi" w:cs="Garamond"/>
          <w:b/>
          <w:lang w:val="en-US"/>
        </w:rPr>
        <w:t>The ackn</w:t>
      </w:r>
      <w:r w:rsidR="00803B63" w:rsidRPr="00E451A2">
        <w:rPr>
          <w:rFonts w:asciiTheme="majorHAnsi" w:eastAsia="Times New Roman" w:hAnsiTheme="majorHAnsi" w:cs="Garamond"/>
          <w:b/>
          <w:lang w:val="en-US"/>
        </w:rPr>
        <w:t xml:space="preserve">owledgment and mainstreaming </w:t>
      </w:r>
      <w:proofErr w:type="gramStart"/>
      <w:r w:rsidR="00803B63" w:rsidRPr="00E451A2">
        <w:rPr>
          <w:rFonts w:asciiTheme="majorHAnsi" w:eastAsia="Times New Roman" w:hAnsiTheme="majorHAnsi" w:cs="Garamond"/>
          <w:b/>
          <w:lang w:val="en-US"/>
        </w:rPr>
        <w:t xml:space="preserve">of </w:t>
      </w:r>
      <w:r w:rsidRPr="00E451A2">
        <w:rPr>
          <w:rFonts w:asciiTheme="majorHAnsi" w:eastAsia="Times New Roman" w:hAnsiTheme="majorHAnsi" w:cs="Garamond"/>
          <w:b/>
          <w:lang w:val="en-US"/>
        </w:rPr>
        <w:t>a</w:t>
      </w:r>
      <w:proofErr w:type="gramEnd"/>
      <w:r w:rsidRPr="00E451A2">
        <w:rPr>
          <w:rFonts w:asciiTheme="majorHAnsi" w:eastAsia="Times New Roman" w:hAnsiTheme="majorHAnsi" w:cs="Garamond"/>
          <w:b/>
          <w:lang w:val="en-US"/>
        </w:rPr>
        <w:t xml:space="preserve"> human rights based approach </w:t>
      </w:r>
      <w:r w:rsidR="00B61796" w:rsidRPr="00E451A2">
        <w:rPr>
          <w:rFonts w:asciiTheme="majorHAnsi" w:eastAsia="Times New Roman" w:hAnsiTheme="majorHAnsi" w:cs="Garamond"/>
          <w:b/>
          <w:lang w:val="en-US"/>
        </w:rPr>
        <w:t>to improve the</w:t>
      </w:r>
      <w:r w:rsidRPr="00E451A2">
        <w:rPr>
          <w:rFonts w:asciiTheme="majorHAnsi" w:eastAsia="Times New Roman" w:hAnsiTheme="majorHAnsi" w:cs="Garamond"/>
          <w:b/>
          <w:lang w:val="en-US"/>
        </w:rPr>
        <w:t xml:space="preserve"> implementation and efficiency of the DRR</w:t>
      </w:r>
      <w:r w:rsidR="00B61796" w:rsidRPr="00E451A2">
        <w:rPr>
          <w:rFonts w:asciiTheme="majorHAnsi" w:eastAsia="Times New Roman" w:hAnsiTheme="majorHAnsi" w:cs="Garamond"/>
          <w:b/>
          <w:lang w:val="en-US"/>
        </w:rPr>
        <w:t xml:space="preserve"> legal, policy and institutional</w:t>
      </w:r>
      <w:r w:rsidRPr="00E451A2">
        <w:rPr>
          <w:rFonts w:asciiTheme="majorHAnsi" w:eastAsia="Times New Roman" w:hAnsiTheme="majorHAnsi" w:cs="Garamond"/>
          <w:b/>
          <w:lang w:val="en-US"/>
        </w:rPr>
        <w:t xml:space="preserve"> </w:t>
      </w:r>
      <w:r w:rsidR="00B61796" w:rsidRPr="00E451A2">
        <w:rPr>
          <w:rFonts w:asciiTheme="majorHAnsi" w:eastAsia="Times New Roman" w:hAnsiTheme="majorHAnsi" w:cs="Garamond"/>
          <w:b/>
          <w:lang w:val="en-US"/>
        </w:rPr>
        <w:t xml:space="preserve">framework. </w:t>
      </w:r>
    </w:p>
    <w:sectPr w:rsidR="00411469" w:rsidRPr="00803B63" w:rsidSect="00CA7306">
      <w:footerReference w:type="default" r:id="rId8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331" w:rsidRDefault="00F21331" w:rsidP="00CA3564">
      <w:r>
        <w:separator/>
      </w:r>
    </w:p>
  </w:endnote>
  <w:endnote w:type="continuationSeparator" w:id="0">
    <w:p w:rsidR="00F21331" w:rsidRDefault="00F21331" w:rsidP="00CA3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(Arabic)"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A7" w:rsidRPr="00080285" w:rsidRDefault="00147DA7">
    <w:pPr>
      <w:pStyle w:val="Pieddepage"/>
      <w:rPr>
        <w:rFonts w:asciiTheme="majorHAnsi" w:hAnsiTheme="majorHAnsi"/>
      </w:rPr>
    </w:pPr>
    <w:r>
      <w:rPr>
        <w:rFonts w:asciiTheme="majorHAnsi" w:hAnsiTheme="majorHAnsi"/>
      </w:rPr>
      <w:t>WaterLex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>8</w:t>
    </w:r>
    <w:r w:rsidRPr="00080285">
      <w:rPr>
        <w:rFonts w:asciiTheme="majorHAnsi" w:hAnsiTheme="majorHAnsi"/>
      </w:rPr>
      <w:t xml:space="preserve"> May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331" w:rsidRDefault="00F21331" w:rsidP="00CA3564">
      <w:r>
        <w:separator/>
      </w:r>
    </w:p>
  </w:footnote>
  <w:footnote w:type="continuationSeparator" w:id="0">
    <w:p w:rsidR="00F21331" w:rsidRDefault="00F21331" w:rsidP="00CA3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4B70"/>
    <w:multiLevelType w:val="hybridMultilevel"/>
    <w:tmpl w:val="C23C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580444"/>
    <w:rsid w:val="00002493"/>
    <w:rsid w:val="00080285"/>
    <w:rsid w:val="00082467"/>
    <w:rsid w:val="000A104B"/>
    <w:rsid w:val="00147DA7"/>
    <w:rsid w:val="003000AE"/>
    <w:rsid w:val="00411469"/>
    <w:rsid w:val="00571BF5"/>
    <w:rsid w:val="00580444"/>
    <w:rsid w:val="007532C7"/>
    <w:rsid w:val="0076148F"/>
    <w:rsid w:val="00765A6F"/>
    <w:rsid w:val="00772EED"/>
    <w:rsid w:val="00803B63"/>
    <w:rsid w:val="008A32BA"/>
    <w:rsid w:val="008F32F0"/>
    <w:rsid w:val="00A5397F"/>
    <w:rsid w:val="00B52745"/>
    <w:rsid w:val="00B61796"/>
    <w:rsid w:val="00B65C43"/>
    <w:rsid w:val="00C01F56"/>
    <w:rsid w:val="00CA3564"/>
    <w:rsid w:val="00CA7306"/>
    <w:rsid w:val="00D45434"/>
    <w:rsid w:val="00D927BB"/>
    <w:rsid w:val="00E44C17"/>
    <w:rsid w:val="00E451A2"/>
    <w:rsid w:val="00F21331"/>
    <w:rsid w:val="00F9124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B"/>
  </w:style>
  <w:style w:type="paragraph" w:styleId="Titre1">
    <w:name w:val="heading 1"/>
    <w:basedOn w:val="Normal"/>
    <w:next w:val="Normal"/>
    <w:link w:val="Titre1Car"/>
    <w:uiPriority w:val="9"/>
    <w:qFormat/>
    <w:rsid w:val="008F32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0161A9"/>
    <w:pPr>
      <w:spacing w:before="120" w:after="120"/>
      <w:ind w:left="227" w:right="227"/>
      <w:jc w:val="both"/>
    </w:pPr>
    <w:rPr>
      <w:rFonts w:ascii="Garamond" w:hAnsi="Garamond"/>
      <w:sz w:val="26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824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82467"/>
  </w:style>
  <w:style w:type="paragraph" w:styleId="Pieddepage">
    <w:name w:val="footer"/>
    <w:basedOn w:val="Normal"/>
    <w:link w:val="PieddepageCar"/>
    <w:uiPriority w:val="99"/>
    <w:semiHidden/>
    <w:unhideWhenUsed/>
    <w:rsid w:val="000824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2467"/>
  </w:style>
  <w:style w:type="paragraph" w:styleId="Textedebulles">
    <w:name w:val="Balloon Text"/>
    <w:basedOn w:val="Normal"/>
    <w:link w:val="TextedebullesCar"/>
    <w:uiPriority w:val="99"/>
    <w:semiHidden/>
    <w:unhideWhenUsed/>
    <w:rsid w:val="00772E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E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A104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F3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WaterLex</dc:creator>
  <cp:lastModifiedBy>Jean-Benoit Charrin</cp:lastModifiedBy>
  <cp:revision>2</cp:revision>
  <cp:lastPrinted>2011-05-03T17:08:00Z</cp:lastPrinted>
  <dcterms:created xsi:type="dcterms:W3CDTF">2011-05-04T12:49:00Z</dcterms:created>
  <dcterms:modified xsi:type="dcterms:W3CDTF">2011-05-04T12:49:00Z</dcterms:modified>
</cp:coreProperties>
</file>