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AD8" w:rsidRPr="0036321B" w:rsidRDefault="00B3324B" w:rsidP="009374E9">
      <w:pPr>
        <w:spacing w:before="360" w:after="120"/>
        <w:jc w:val="center"/>
        <w:rPr>
          <w:rFonts w:ascii="Gill Sans MT" w:hAnsi="Gill Sans MT"/>
          <w:b/>
          <w:smallCaps/>
          <w:spacing w:val="20"/>
          <w:sz w:val="32"/>
          <w:szCs w:val="32"/>
          <w:lang w:val="en-GB"/>
        </w:rPr>
      </w:pPr>
      <w:r w:rsidRPr="0036321B">
        <w:rPr>
          <w:rFonts w:ascii="Gill Sans MT" w:hAnsi="Gill Sans MT"/>
          <w:b/>
          <w:smallCaps/>
          <w:spacing w:val="20"/>
          <w:sz w:val="32"/>
          <w:szCs w:val="32"/>
          <w:lang w:val="en-GB"/>
        </w:rPr>
        <w:t>Africa Working Group (extended)</w:t>
      </w:r>
    </w:p>
    <w:p w:rsidR="00D732CE" w:rsidRPr="0036321B" w:rsidRDefault="00D732CE" w:rsidP="009374E9">
      <w:pPr>
        <w:pBdr>
          <w:bottom w:val="single" w:sz="4" w:space="1" w:color="auto"/>
        </w:pBdr>
        <w:spacing w:before="240"/>
        <w:jc w:val="center"/>
        <w:rPr>
          <w:rFonts w:ascii="Gill Sans MT" w:hAnsi="Gill Sans MT"/>
          <w:b/>
          <w:smallCaps/>
          <w:spacing w:val="20"/>
          <w:sz w:val="26"/>
          <w:szCs w:val="26"/>
          <w:lang w:val="en-GB"/>
        </w:rPr>
      </w:pPr>
      <w:r w:rsidRPr="0036321B">
        <w:rPr>
          <w:rFonts w:ascii="Arial" w:hAnsi="Arial" w:cs="Arial"/>
          <w:b/>
          <w:smallCaps/>
          <w:spacing w:val="20"/>
          <w:sz w:val="26"/>
          <w:szCs w:val="26"/>
          <w:lang w:val="en-GB"/>
        </w:rPr>
        <w:t>●</w:t>
      </w:r>
      <w:r w:rsidRPr="0036321B">
        <w:rPr>
          <w:rFonts w:ascii="Gill Sans MT" w:hAnsi="Gill Sans MT"/>
          <w:b/>
          <w:smallCaps/>
          <w:spacing w:val="20"/>
          <w:sz w:val="26"/>
          <w:szCs w:val="26"/>
          <w:lang w:val="en-GB"/>
        </w:rPr>
        <w:t xml:space="preserve"> Abuja (Nigeria) </w:t>
      </w:r>
      <w:r w:rsidRPr="0036321B">
        <w:rPr>
          <w:rFonts w:ascii="Arial" w:hAnsi="Arial" w:cs="Arial"/>
          <w:b/>
          <w:smallCaps/>
          <w:spacing w:val="20"/>
          <w:sz w:val="26"/>
          <w:szCs w:val="26"/>
          <w:lang w:val="en-GB"/>
        </w:rPr>
        <w:t>●</w:t>
      </w:r>
      <w:r w:rsidRPr="0036321B">
        <w:rPr>
          <w:rFonts w:ascii="Gill Sans MT" w:hAnsi="Gill Sans MT"/>
          <w:b/>
          <w:smallCaps/>
          <w:spacing w:val="20"/>
          <w:sz w:val="26"/>
          <w:szCs w:val="26"/>
          <w:lang w:val="en-GB"/>
        </w:rPr>
        <w:t xml:space="preserve"> </w:t>
      </w:r>
      <w:r w:rsidR="00B3324B" w:rsidRPr="0036321B">
        <w:rPr>
          <w:rFonts w:ascii="Gill Sans MT" w:hAnsi="Gill Sans MT"/>
          <w:b/>
          <w:smallCaps/>
          <w:spacing w:val="20"/>
          <w:sz w:val="26"/>
          <w:szCs w:val="26"/>
          <w:lang w:val="en-GB"/>
        </w:rPr>
        <w:t>11</w:t>
      </w:r>
      <w:r w:rsidRPr="0036321B">
        <w:rPr>
          <w:rFonts w:ascii="Gill Sans MT" w:hAnsi="Gill Sans MT"/>
          <w:b/>
          <w:smallCaps/>
          <w:spacing w:val="20"/>
          <w:sz w:val="26"/>
          <w:szCs w:val="26"/>
          <w:lang w:val="en-GB"/>
        </w:rPr>
        <w:t xml:space="preserve"> – </w:t>
      </w:r>
      <w:r w:rsidR="00B3324B" w:rsidRPr="0036321B">
        <w:rPr>
          <w:rFonts w:ascii="Gill Sans MT" w:hAnsi="Gill Sans MT"/>
          <w:b/>
          <w:smallCaps/>
          <w:spacing w:val="20"/>
          <w:sz w:val="26"/>
          <w:szCs w:val="26"/>
          <w:lang w:val="en-GB"/>
        </w:rPr>
        <w:t>12</w:t>
      </w:r>
      <w:r w:rsidRPr="0036321B">
        <w:rPr>
          <w:rFonts w:ascii="Gill Sans MT" w:hAnsi="Gill Sans MT"/>
          <w:b/>
          <w:smallCaps/>
          <w:spacing w:val="20"/>
          <w:sz w:val="26"/>
          <w:szCs w:val="26"/>
          <w:lang w:val="en-GB"/>
        </w:rPr>
        <w:t xml:space="preserve"> Ma</w:t>
      </w:r>
      <w:r w:rsidR="00B3324B" w:rsidRPr="0036321B">
        <w:rPr>
          <w:rFonts w:ascii="Gill Sans MT" w:hAnsi="Gill Sans MT"/>
          <w:b/>
          <w:smallCaps/>
          <w:spacing w:val="20"/>
          <w:sz w:val="26"/>
          <w:szCs w:val="26"/>
          <w:lang w:val="en-GB"/>
        </w:rPr>
        <w:t>rch</w:t>
      </w:r>
      <w:r w:rsidRPr="0036321B">
        <w:rPr>
          <w:rFonts w:ascii="Gill Sans MT" w:hAnsi="Gill Sans MT"/>
          <w:b/>
          <w:smallCaps/>
          <w:spacing w:val="20"/>
          <w:sz w:val="26"/>
          <w:szCs w:val="26"/>
          <w:lang w:val="en-GB"/>
        </w:rPr>
        <w:t xml:space="preserve"> </w:t>
      </w:r>
      <w:proofErr w:type="gramStart"/>
      <w:r w:rsidRPr="0036321B">
        <w:rPr>
          <w:rFonts w:ascii="Gill Sans MT" w:hAnsi="Gill Sans MT"/>
          <w:b/>
          <w:smallCaps/>
          <w:spacing w:val="20"/>
          <w:sz w:val="26"/>
          <w:szCs w:val="26"/>
          <w:lang w:val="en-GB"/>
        </w:rPr>
        <w:t xml:space="preserve">2014  </w:t>
      </w:r>
      <w:r w:rsidRPr="0036321B">
        <w:rPr>
          <w:rFonts w:ascii="Arial" w:hAnsi="Arial" w:cs="Arial"/>
          <w:b/>
          <w:smallCaps/>
          <w:spacing w:val="20"/>
          <w:sz w:val="26"/>
          <w:szCs w:val="26"/>
          <w:lang w:val="en-GB"/>
        </w:rPr>
        <w:t>●</w:t>
      </w:r>
      <w:proofErr w:type="gramEnd"/>
    </w:p>
    <w:p w:rsidR="0089022C" w:rsidRPr="0089022C" w:rsidRDefault="0089022C" w:rsidP="0089022C">
      <w:pPr>
        <w:shd w:val="clear" w:color="auto" w:fill="1D1B11" w:themeFill="background2" w:themeFillShade="1A"/>
        <w:spacing w:after="0" w:line="240" w:lineRule="auto"/>
        <w:jc w:val="center"/>
        <w:rPr>
          <w:rFonts w:ascii="Gill Sans MT" w:hAnsi="Gill Sans MT"/>
          <w:b/>
          <w:spacing w:val="20"/>
          <w:sz w:val="2"/>
          <w:szCs w:val="28"/>
          <w:lang w:val="en-GB"/>
        </w:rPr>
      </w:pPr>
    </w:p>
    <w:p w:rsidR="0089022C" w:rsidRPr="0089022C" w:rsidRDefault="0089022C" w:rsidP="0089022C">
      <w:pPr>
        <w:shd w:val="clear" w:color="auto" w:fill="1D1B11" w:themeFill="background2" w:themeFillShade="1A"/>
        <w:spacing w:after="0" w:line="240" w:lineRule="auto"/>
        <w:jc w:val="center"/>
        <w:rPr>
          <w:rFonts w:ascii="Gill Sans MT" w:hAnsi="Gill Sans MT"/>
          <w:b/>
          <w:spacing w:val="20"/>
          <w:sz w:val="4"/>
          <w:szCs w:val="28"/>
          <w:lang w:val="en-GB"/>
        </w:rPr>
      </w:pPr>
    </w:p>
    <w:p w:rsidR="00D732CE" w:rsidRPr="0036321B" w:rsidRDefault="00145D99" w:rsidP="008600F3">
      <w:pPr>
        <w:shd w:val="clear" w:color="auto" w:fill="1D1B11" w:themeFill="background2" w:themeFillShade="1A"/>
        <w:spacing w:after="360" w:line="240" w:lineRule="auto"/>
        <w:jc w:val="center"/>
        <w:rPr>
          <w:rFonts w:ascii="Gill Sans MT" w:hAnsi="Gill Sans MT"/>
          <w:b/>
          <w:spacing w:val="20"/>
          <w:sz w:val="28"/>
          <w:szCs w:val="28"/>
          <w:lang w:val="en-GB"/>
        </w:rPr>
      </w:pPr>
      <w:r w:rsidRPr="0036321B">
        <w:rPr>
          <w:rFonts w:ascii="Gill Sans MT" w:hAnsi="Gill Sans MT"/>
          <w:b/>
          <w:spacing w:val="20"/>
          <w:sz w:val="28"/>
          <w:szCs w:val="28"/>
          <w:lang w:val="en-GB"/>
        </w:rPr>
        <w:t>Co</w:t>
      </w:r>
      <w:r w:rsidR="0076763B" w:rsidRPr="0036321B">
        <w:rPr>
          <w:rFonts w:ascii="Gill Sans MT" w:hAnsi="Gill Sans MT"/>
          <w:b/>
          <w:spacing w:val="20"/>
          <w:sz w:val="28"/>
          <w:szCs w:val="28"/>
          <w:lang w:val="en-GB"/>
        </w:rPr>
        <w:t>ncept Note</w:t>
      </w:r>
    </w:p>
    <w:p w:rsidR="0089022C" w:rsidRPr="0089022C" w:rsidRDefault="0089022C" w:rsidP="0089022C">
      <w:pPr>
        <w:shd w:val="clear" w:color="auto" w:fill="1D1B11" w:themeFill="background2" w:themeFillShade="1A"/>
        <w:autoSpaceDE w:val="0"/>
        <w:autoSpaceDN w:val="0"/>
        <w:adjustRightInd w:val="0"/>
        <w:spacing w:after="0" w:line="240" w:lineRule="auto"/>
        <w:rPr>
          <w:rFonts w:ascii="Gill Sans MT" w:hAnsi="Gill Sans MT"/>
          <w:sz w:val="2"/>
          <w:szCs w:val="28"/>
          <w:lang w:val="en-GB"/>
        </w:rPr>
        <w:sectPr w:rsidR="0089022C" w:rsidRPr="0089022C" w:rsidSect="003076B7">
          <w:headerReference w:type="default" r:id="rId8"/>
          <w:footerReference w:type="default" r:id="rId9"/>
          <w:pgSz w:w="12240" w:h="15840"/>
          <w:pgMar w:top="1296" w:right="1296" w:bottom="1296" w:left="1296" w:header="720" w:footer="720" w:gutter="0"/>
          <w:cols w:space="720"/>
          <w:docGrid w:linePitch="360"/>
        </w:sectPr>
      </w:pPr>
    </w:p>
    <w:p w:rsidR="003076B7" w:rsidRPr="00A158FA" w:rsidRDefault="0036321B" w:rsidP="001B16B9">
      <w:pPr>
        <w:pStyle w:val="Heading4"/>
        <w:spacing w:before="0" w:beforeAutospacing="0" w:after="120" w:afterAutospacing="0" w:line="264" w:lineRule="auto"/>
        <w:jc w:val="both"/>
        <w:rPr>
          <w:rFonts w:ascii="Gill Sans MT" w:hAnsi="Gill Sans MT"/>
        </w:rPr>
      </w:pPr>
      <w:r w:rsidRPr="00A158FA">
        <w:rPr>
          <w:rFonts w:ascii="Gill Sans MT" w:hAnsi="Gill Sans MT"/>
        </w:rPr>
        <w:lastRenderedPageBreak/>
        <w:t>Context</w:t>
      </w:r>
    </w:p>
    <w:p w:rsidR="00BF3DE3" w:rsidRDefault="00D5606C" w:rsidP="001B16B9">
      <w:pPr>
        <w:pStyle w:val="Heading4"/>
        <w:spacing w:before="120" w:beforeAutospacing="0" w:after="0" w:afterAutospacing="0" w:line="252" w:lineRule="auto"/>
        <w:jc w:val="both"/>
        <w:rPr>
          <w:rFonts w:ascii="Gill Sans MT" w:hAnsi="Gill Sans MT"/>
          <w:b w:val="0"/>
          <w:sz w:val="22"/>
          <w:szCs w:val="22"/>
        </w:rPr>
      </w:pPr>
      <w:r w:rsidRPr="00D5606C">
        <w:rPr>
          <w:rFonts w:ascii="Gill Sans MT" w:hAnsi="Gill Sans MT"/>
          <w:b w:val="0"/>
          <w:sz w:val="22"/>
          <w:szCs w:val="22"/>
        </w:rPr>
        <w:t>The economic growth in Africa remains robust</w:t>
      </w:r>
      <w:r w:rsidR="006F03BD">
        <w:rPr>
          <w:rFonts w:ascii="Gill Sans MT" w:hAnsi="Gill Sans MT"/>
          <w:b w:val="0"/>
          <w:sz w:val="22"/>
          <w:szCs w:val="22"/>
        </w:rPr>
        <w:t>.</w:t>
      </w:r>
      <w:r w:rsidRPr="00D5606C">
        <w:rPr>
          <w:rFonts w:ascii="Gill Sans MT" w:hAnsi="Gill Sans MT"/>
          <w:b w:val="0"/>
          <w:sz w:val="22"/>
          <w:szCs w:val="22"/>
        </w:rPr>
        <w:t xml:space="preserve"> </w:t>
      </w:r>
      <w:r w:rsidR="006F03BD">
        <w:rPr>
          <w:rFonts w:ascii="Gill Sans MT" w:hAnsi="Gill Sans MT"/>
          <w:b w:val="0"/>
          <w:sz w:val="22"/>
          <w:szCs w:val="22"/>
        </w:rPr>
        <w:t>A</w:t>
      </w:r>
      <w:r w:rsidRPr="00D5606C">
        <w:rPr>
          <w:rFonts w:ascii="Gill Sans MT" w:hAnsi="Gill Sans MT"/>
          <w:b w:val="0"/>
          <w:sz w:val="22"/>
          <w:szCs w:val="22"/>
        </w:rPr>
        <w:t xml:space="preserve"> third of countries in the region </w:t>
      </w:r>
      <w:r w:rsidR="006F03BD">
        <w:rPr>
          <w:rFonts w:ascii="Gill Sans MT" w:hAnsi="Gill Sans MT"/>
          <w:b w:val="0"/>
          <w:sz w:val="22"/>
          <w:szCs w:val="22"/>
        </w:rPr>
        <w:t xml:space="preserve">are </w:t>
      </w:r>
      <w:r w:rsidRPr="00D5606C">
        <w:rPr>
          <w:rFonts w:ascii="Gill Sans MT" w:hAnsi="Gill Sans MT"/>
          <w:b w:val="0"/>
          <w:sz w:val="22"/>
          <w:szCs w:val="22"/>
        </w:rPr>
        <w:t>growing by at least 6 percent</w:t>
      </w:r>
      <w:r w:rsidR="006F03BD">
        <w:rPr>
          <w:rFonts w:ascii="Gill Sans MT" w:hAnsi="Gill Sans MT"/>
          <w:b w:val="0"/>
          <w:sz w:val="22"/>
          <w:szCs w:val="22"/>
        </w:rPr>
        <w:t xml:space="preserve"> per year</w:t>
      </w:r>
      <w:r w:rsidRPr="00D5606C">
        <w:rPr>
          <w:rFonts w:ascii="Gill Sans MT" w:hAnsi="Gill Sans MT"/>
          <w:b w:val="0"/>
          <w:sz w:val="22"/>
          <w:szCs w:val="22"/>
        </w:rPr>
        <w:t xml:space="preserve">. </w:t>
      </w:r>
      <w:r w:rsidRPr="00A158FA">
        <w:rPr>
          <w:rFonts w:ascii="Gill Sans MT" w:hAnsi="Gill Sans MT"/>
          <w:b w:val="0"/>
          <w:sz w:val="22"/>
          <w:szCs w:val="22"/>
        </w:rPr>
        <w:t>West Africa is expected to continue its rapid growth with rates of 6.7 percent in 2013 and 7.4 percent in 2014 and has become the fastest growing region of the continent (African Economic Outlook, 2013).</w:t>
      </w:r>
      <w:r w:rsidR="00A158FA" w:rsidRPr="00A158FA">
        <w:rPr>
          <w:rFonts w:ascii="Gill Sans MT" w:hAnsi="Gill Sans MT"/>
          <w:b w:val="0"/>
          <w:sz w:val="22"/>
          <w:szCs w:val="22"/>
        </w:rPr>
        <w:t xml:space="preserve"> </w:t>
      </w:r>
      <w:r w:rsidR="003137AB">
        <w:rPr>
          <w:rFonts w:ascii="Gill Sans MT" w:hAnsi="Gill Sans MT"/>
          <w:b w:val="0"/>
          <w:sz w:val="22"/>
          <w:szCs w:val="22"/>
        </w:rPr>
        <w:t>E</w:t>
      </w:r>
      <w:r w:rsidR="00A158FA" w:rsidRPr="00A158FA">
        <w:rPr>
          <w:rFonts w:ascii="Gill Sans MT" w:hAnsi="Gill Sans MT"/>
          <w:b w:val="0"/>
          <w:sz w:val="22"/>
          <w:szCs w:val="22"/>
        </w:rPr>
        <w:t xml:space="preserve">conomic growth over the past decade did not have the expected impact on poverty reduction. Despite an emerging middle class in Africa, translating economic growth into poverty </w:t>
      </w:r>
      <w:r w:rsidR="003137AB">
        <w:rPr>
          <w:rFonts w:ascii="Gill Sans MT" w:hAnsi="Gill Sans MT"/>
          <w:b w:val="0"/>
          <w:sz w:val="22"/>
          <w:szCs w:val="22"/>
        </w:rPr>
        <w:t xml:space="preserve">reduction </w:t>
      </w:r>
      <w:r w:rsidR="00A158FA" w:rsidRPr="00A158FA">
        <w:rPr>
          <w:rFonts w:ascii="Gill Sans MT" w:hAnsi="Gill Sans MT"/>
          <w:b w:val="0"/>
          <w:sz w:val="22"/>
          <w:szCs w:val="22"/>
        </w:rPr>
        <w:t>and building peace in some fragile countries and region</w:t>
      </w:r>
      <w:r w:rsidR="003137AB">
        <w:rPr>
          <w:rFonts w:ascii="Gill Sans MT" w:hAnsi="Gill Sans MT"/>
          <w:b w:val="0"/>
          <w:sz w:val="22"/>
          <w:szCs w:val="22"/>
        </w:rPr>
        <w:t>s</w:t>
      </w:r>
      <w:r w:rsidR="00A158FA" w:rsidRPr="00A158FA">
        <w:rPr>
          <w:rFonts w:ascii="Gill Sans MT" w:hAnsi="Gill Sans MT"/>
          <w:b w:val="0"/>
          <w:sz w:val="22"/>
          <w:szCs w:val="22"/>
        </w:rPr>
        <w:t xml:space="preserve"> </w:t>
      </w:r>
      <w:r w:rsidR="003137AB">
        <w:rPr>
          <w:rFonts w:ascii="Gill Sans MT" w:hAnsi="Gill Sans MT"/>
          <w:b w:val="0"/>
          <w:sz w:val="22"/>
          <w:szCs w:val="22"/>
        </w:rPr>
        <w:t>remain</w:t>
      </w:r>
      <w:r w:rsidR="00A158FA" w:rsidRPr="00A158FA">
        <w:rPr>
          <w:rFonts w:ascii="Gill Sans MT" w:hAnsi="Gill Sans MT"/>
          <w:b w:val="0"/>
          <w:sz w:val="22"/>
          <w:szCs w:val="22"/>
        </w:rPr>
        <w:t xml:space="preserve"> the main challenges for the continent’s future.</w:t>
      </w:r>
    </w:p>
    <w:p w:rsidR="008E1084" w:rsidRDefault="008E1084" w:rsidP="001B16B9">
      <w:pPr>
        <w:pStyle w:val="Heading4"/>
        <w:spacing w:before="120" w:beforeAutospacing="0" w:after="0" w:afterAutospacing="0" w:line="264" w:lineRule="auto"/>
        <w:jc w:val="both"/>
        <w:rPr>
          <w:rFonts w:ascii="Gill Sans MT" w:hAnsi="Gill Sans MT"/>
        </w:rPr>
      </w:pPr>
      <w:r>
        <w:rPr>
          <w:rFonts w:ascii="Gill Sans MT" w:hAnsi="Gill Sans MT"/>
        </w:rPr>
        <w:t>DRR Perspective</w:t>
      </w:r>
      <w:r w:rsidR="00B56BA1">
        <w:rPr>
          <w:rFonts w:ascii="Gill Sans MT" w:hAnsi="Gill Sans MT"/>
        </w:rPr>
        <w:t>s</w:t>
      </w:r>
      <w:r>
        <w:rPr>
          <w:rFonts w:ascii="Gill Sans MT" w:hAnsi="Gill Sans MT"/>
        </w:rPr>
        <w:t xml:space="preserve"> in Africa </w:t>
      </w:r>
    </w:p>
    <w:p w:rsidR="00B56BA1" w:rsidRPr="00A76610" w:rsidRDefault="0047212D" w:rsidP="001B16B9">
      <w:pPr>
        <w:pStyle w:val="Heading4"/>
        <w:spacing w:before="0" w:beforeAutospacing="0" w:after="120" w:afterAutospacing="0" w:line="252" w:lineRule="auto"/>
        <w:jc w:val="both"/>
        <w:rPr>
          <w:rFonts w:ascii="Gill Sans MT" w:hAnsi="Gill Sans MT"/>
          <w:b w:val="0"/>
          <w:sz w:val="22"/>
          <w:szCs w:val="22"/>
          <w:lang w:val="en-US"/>
        </w:rPr>
      </w:pPr>
      <w:r w:rsidRPr="0047212D">
        <w:rPr>
          <w:rFonts w:ascii="Gill Sans MT" w:hAnsi="Gill Sans MT"/>
          <w:b w:val="0"/>
          <w:sz w:val="22"/>
          <w:szCs w:val="22"/>
        </w:rPr>
        <w:t xml:space="preserve">While governments seek to accelerate </w:t>
      </w:r>
      <w:r>
        <w:rPr>
          <w:rFonts w:ascii="Gill Sans MT" w:hAnsi="Gill Sans MT"/>
          <w:b w:val="0"/>
          <w:sz w:val="22"/>
          <w:szCs w:val="22"/>
        </w:rPr>
        <w:t>economic</w:t>
      </w:r>
      <w:r w:rsidRPr="0047212D">
        <w:rPr>
          <w:rFonts w:ascii="Gill Sans MT" w:hAnsi="Gill Sans MT"/>
          <w:b w:val="0"/>
          <w:sz w:val="22"/>
          <w:szCs w:val="22"/>
        </w:rPr>
        <w:t xml:space="preserve"> growth</w:t>
      </w:r>
      <w:r w:rsidR="003137AB">
        <w:rPr>
          <w:rFonts w:ascii="Gill Sans MT" w:hAnsi="Gill Sans MT"/>
          <w:b w:val="0"/>
          <w:sz w:val="22"/>
          <w:szCs w:val="22"/>
        </w:rPr>
        <w:t>,</w:t>
      </w:r>
      <w:r w:rsidRPr="0047212D">
        <w:rPr>
          <w:rFonts w:ascii="Gill Sans MT" w:hAnsi="Gill Sans MT"/>
          <w:b w:val="0"/>
          <w:sz w:val="22"/>
          <w:szCs w:val="22"/>
        </w:rPr>
        <w:t xml:space="preserve"> Africa’s future risk profile continues to be characterised by a ‘duality’ of high to medium vulnerability as well as high exposure of economic and community assets</w:t>
      </w:r>
      <w:r w:rsidR="003137AB">
        <w:rPr>
          <w:rFonts w:ascii="Gill Sans MT" w:hAnsi="Gill Sans MT"/>
          <w:b w:val="0"/>
          <w:sz w:val="22"/>
          <w:szCs w:val="22"/>
        </w:rPr>
        <w:t xml:space="preserve"> to risks</w:t>
      </w:r>
      <w:r w:rsidRPr="0047212D">
        <w:rPr>
          <w:rFonts w:ascii="Gill Sans MT" w:hAnsi="Gill Sans MT"/>
          <w:b w:val="0"/>
          <w:sz w:val="22"/>
          <w:szCs w:val="22"/>
        </w:rPr>
        <w:t>.</w:t>
      </w:r>
      <w:r w:rsidR="002C52E5">
        <w:rPr>
          <w:rFonts w:ascii="Gill Sans MT" w:hAnsi="Gill Sans MT"/>
          <w:b w:val="0"/>
          <w:sz w:val="22"/>
          <w:szCs w:val="22"/>
        </w:rPr>
        <w:t xml:space="preserve"> </w:t>
      </w:r>
      <w:r w:rsidR="003137AB">
        <w:rPr>
          <w:rFonts w:ascii="Gill Sans MT" w:hAnsi="Gill Sans MT"/>
          <w:b w:val="0"/>
          <w:sz w:val="22"/>
          <w:szCs w:val="22"/>
        </w:rPr>
        <w:t>A r</w:t>
      </w:r>
      <w:r w:rsidR="002C52E5" w:rsidRPr="002C52E5">
        <w:rPr>
          <w:rFonts w:ascii="Gill Sans MT" w:hAnsi="Gill Sans MT"/>
          <w:b w:val="0"/>
          <w:sz w:val="22"/>
          <w:szCs w:val="22"/>
        </w:rPr>
        <w:t>apidly changing global climate is expected to exacerbate risks</w:t>
      </w:r>
      <w:r w:rsidR="00A76610">
        <w:rPr>
          <w:rFonts w:ascii="Gill Sans MT" w:hAnsi="Gill Sans MT"/>
          <w:b w:val="0"/>
          <w:sz w:val="22"/>
          <w:szCs w:val="22"/>
        </w:rPr>
        <w:t xml:space="preserve"> with increasingly unforeseen climate </w:t>
      </w:r>
      <w:r w:rsidR="00D974CD">
        <w:rPr>
          <w:rFonts w:ascii="Gill Sans MT" w:hAnsi="Gill Sans MT"/>
          <w:b w:val="0"/>
          <w:sz w:val="22"/>
          <w:szCs w:val="22"/>
        </w:rPr>
        <w:t>extremes</w:t>
      </w:r>
      <w:r w:rsidR="002C52E5" w:rsidRPr="002C52E5">
        <w:rPr>
          <w:rFonts w:ascii="Gill Sans MT" w:hAnsi="Gill Sans MT"/>
          <w:b w:val="0"/>
          <w:sz w:val="22"/>
          <w:szCs w:val="22"/>
        </w:rPr>
        <w:t xml:space="preserve">. </w:t>
      </w:r>
      <w:r w:rsidR="009F1C30">
        <w:rPr>
          <w:rFonts w:ascii="Gill Sans MT" w:hAnsi="Gill Sans MT"/>
          <w:b w:val="0"/>
          <w:sz w:val="22"/>
          <w:szCs w:val="22"/>
        </w:rPr>
        <w:t>The frequency and intensity of droughts have likely increased in West Africa while East Africa is expected to become warmer with increased rainfall</w:t>
      </w:r>
      <w:r w:rsidR="002A2766">
        <w:rPr>
          <w:rFonts w:ascii="Gill Sans MT" w:hAnsi="Gill Sans MT"/>
          <w:b w:val="0"/>
          <w:sz w:val="22"/>
          <w:szCs w:val="22"/>
        </w:rPr>
        <w:t xml:space="preserve"> (IPCC, 2013)</w:t>
      </w:r>
      <w:r w:rsidR="009F1C30">
        <w:rPr>
          <w:rFonts w:ascii="Gill Sans MT" w:hAnsi="Gill Sans MT"/>
          <w:b w:val="0"/>
          <w:sz w:val="22"/>
          <w:szCs w:val="22"/>
        </w:rPr>
        <w:t xml:space="preserve">. </w:t>
      </w:r>
      <w:r w:rsidR="003137AB">
        <w:rPr>
          <w:rFonts w:ascii="Gill Sans MT" w:hAnsi="Gill Sans MT"/>
          <w:b w:val="0"/>
          <w:sz w:val="22"/>
          <w:szCs w:val="22"/>
        </w:rPr>
        <w:t>To counter vulnerability, Africa should support, as a priority,</w:t>
      </w:r>
      <w:r w:rsidR="00A76610" w:rsidRPr="00A76610">
        <w:rPr>
          <w:rFonts w:ascii="Gill Sans MT" w:hAnsi="Gill Sans MT"/>
          <w:b w:val="0"/>
          <w:sz w:val="22"/>
          <w:szCs w:val="22"/>
        </w:rPr>
        <w:t xml:space="preserve"> DRR programme</w:t>
      </w:r>
      <w:r w:rsidR="003137AB">
        <w:rPr>
          <w:rFonts w:ascii="Gill Sans MT" w:hAnsi="Gill Sans MT"/>
          <w:b w:val="0"/>
          <w:sz w:val="22"/>
          <w:szCs w:val="22"/>
        </w:rPr>
        <w:t>s</w:t>
      </w:r>
      <w:r w:rsidR="00A76610" w:rsidRPr="00A76610">
        <w:rPr>
          <w:rFonts w:ascii="Gill Sans MT" w:hAnsi="Gill Sans MT"/>
          <w:b w:val="0"/>
          <w:sz w:val="22"/>
          <w:szCs w:val="22"/>
        </w:rPr>
        <w:t xml:space="preserve"> and climate resilient development to ensure sustainable </w:t>
      </w:r>
      <w:r w:rsidR="00233ED2">
        <w:rPr>
          <w:rFonts w:ascii="Gill Sans MT" w:hAnsi="Gill Sans MT"/>
          <w:b w:val="0"/>
          <w:sz w:val="22"/>
          <w:szCs w:val="22"/>
        </w:rPr>
        <w:t xml:space="preserve">and resilient </w:t>
      </w:r>
      <w:r w:rsidR="00A76610" w:rsidRPr="00A76610">
        <w:rPr>
          <w:rFonts w:ascii="Gill Sans MT" w:hAnsi="Gill Sans MT"/>
          <w:b w:val="0"/>
          <w:sz w:val="22"/>
          <w:szCs w:val="22"/>
        </w:rPr>
        <w:t>development.</w:t>
      </w:r>
    </w:p>
    <w:p w:rsidR="002C52E5" w:rsidRDefault="002C52E5" w:rsidP="001B16B9">
      <w:pPr>
        <w:pStyle w:val="Heading4"/>
        <w:spacing w:before="120" w:beforeAutospacing="0" w:after="120" w:afterAutospacing="0" w:line="252" w:lineRule="auto"/>
        <w:jc w:val="both"/>
        <w:rPr>
          <w:rFonts w:ascii="Gill Sans MT" w:hAnsi="Gill Sans MT"/>
          <w:b w:val="0"/>
          <w:sz w:val="22"/>
          <w:szCs w:val="22"/>
        </w:rPr>
      </w:pPr>
      <w:r>
        <w:rPr>
          <w:rFonts w:ascii="Gill Sans MT" w:hAnsi="Gill Sans MT"/>
          <w:b w:val="0"/>
          <w:sz w:val="22"/>
          <w:szCs w:val="22"/>
        </w:rPr>
        <w:t xml:space="preserve">With an urban population growing at a rate of </w:t>
      </w:r>
      <w:r w:rsidRPr="002C52E5">
        <w:rPr>
          <w:rFonts w:ascii="Gill Sans MT" w:hAnsi="Gill Sans MT"/>
          <w:b w:val="0"/>
          <w:sz w:val="22"/>
          <w:szCs w:val="22"/>
        </w:rPr>
        <w:t>4.87</w:t>
      </w:r>
      <w:r>
        <w:rPr>
          <w:rFonts w:ascii="Gill Sans MT" w:hAnsi="Gill Sans MT"/>
          <w:b w:val="0"/>
          <w:sz w:val="22"/>
          <w:szCs w:val="22"/>
        </w:rPr>
        <w:t xml:space="preserve"> percent per year</w:t>
      </w:r>
      <w:r w:rsidRPr="002C52E5">
        <w:rPr>
          <w:rFonts w:ascii="Gill Sans MT" w:hAnsi="Gill Sans MT"/>
          <w:b w:val="0"/>
          <w:sz w:val="22"/>
          <w:szCs w:val="22"/>
        </w:rPr>
        <w:t xml:space="preserve">, Africa is the </w:t>
      </w:r>
      <w:r>
        <w:rPr>
          <w:rFonts w:ascii="Gill Sans MT" w:hAnsi="Gill Sans MT"/>
          <w:b w:val="0"/>
          <w:sz w:val="22"/>
          <w:szCs w:val="22"/>
        </w:rPr>
        <w:t xml:space="preserve">fastest urbanising </w:t>
      </w:r>
      <w:r w:rsidRPr="002C52E5">
        <w:rPr>
          <w:rFonts w:ascii="Gill Sans MT" w:hAnsi="Gill Sans MT"/>
          <w:b w:val="0"/>
          <w:sz w:val="22"/>
          <w:szCs w:val="22"/>
        </w:rPr>
        <w:t>continent</w:t>
      </w:r>
      <w:r w:rsidR="00B7771D">
        <w:rPr>
          <w:rFonts w:ascii="Gill Sans MT" w:hAnsi="Gill Sans MT"/>
          <w:b w:val="0"/>
          <w:sz w:val="22"/>
          <w:szCs w:val="22"/>
        </w:rPr>
        <w:t xml:space="preserve"> (UN-HABITAT, 2001)</w:t>
      </w:r>
      <w:r w:rsidRPr="002C52E5">
        <w:rPr>
          <w:rFonts w:ascii="Gill Sans MT" w:hAnsi="Gill Sans MT"/>
          <w:b w:val="0"/>
          <w:sz w:val="22"/>
          <w:szCs w:val="22"/>
        </w:rPr>
        <w:t xml:space="preserve">. Furthermore </w:t>
      </w:r>
      <w:r>
        <w:rPr>
          <w:rFonts w:ascii="Gill Sans MT" w:hAnsi="Gill Sans MT"/>
          <w:b w:val="0"/>
          <w:sz w:val="22"/>
          <w:szCs w:val="22"/>
        </w:rPr>
        <w:t>g</w:t>
      </w:r>
      <w:r w:rsidRPr="002C52E5">
        <w:rPr>
          <w:rFonts w:ascii="Gill Sans MT" w:hAnsi="Gill Sans MT"/>
          <w:b w:val="0"/>
          <w:sz w:val="22"/>
          <w:szCs w:val="22"/>
        </w:rPr>
        <w:t>lobal economic production and consumption is</w:t>
      </w:r>
      <w:r>
        <w:rPr>
          <w:rFonts w:ascii="Gill Sans MT" w:hAnsi="Gill Sans MT"/>
          <w:b w:val="0"/>
          <w:sz w:val="22"/>
          <w:szCs w:val="22"/>
        </w:rPr>
        <w:t xml:space="preserve"> now concentrated in cities: 80 percent</w:t>
      </w:r>
      <w:r w:rsidRPr="002C52E5">
        <w:rPr>
          <w:rFonts w:ascii="Gill Sans MT" w:hAnsi="Gill Sans MT"/>
          <w:b w:val="0"/>
          <w:sz w:val="22"/>
          <w:szCs w:val="22"/>
        </w:rPr>
        <w:t xml:space="preserve"> of global</w:t>
      </w:r>
      <w:r>
        <w:rPr>
          <w:rFonts w:ascii="Gill Sans MT" w:hAnsi="Gill Sans MT"/>
          <w:b w:val="0"/>
          <w:sz w:val="22"/>
          <w:szCs w:val="22"/>
        </w:rPr>
        <w:t xml:space="preserve"> GDP is now produced in cities</w:t>
      </w:r>
      <w:r w:rsidR="00B7771D">
        <w:rPr>
          <w:rFonts w:ascii="Gill Sans MT" w:hAnsi="Gill Sans MT"/>
          <w:b w:val="0"/>
          <w:sz w:val="22"/>
          <w:szCs w:val="22"/>
        </w:rPr>
        <w:t xml:space="preserve"> (UNEP, 2013)</w:t>
      </w:r>
      <w:r>
        <w:rPr>
          <w:rFonts w:ascii="Gill Sans MT" w:hAnsi="Gill Sans MT"/>
          <w:b w:val="0"/>
          <w:sz w:val="22"/>
          <w:szCs w:val="22"/>
        </w:rPr>
        <w:t>. Increasing urban</w:t>
      </w:r>
      <w:r w:rsidRPr="002C52E5">
        <w:rPr>
          <w:rFonts w:ascii="Gill Sans MT" w:hAnsi="Gill Sans MT"/>
          <w:b w:val="0"/>
          <w:sz w:val="22"/>
          <w:szCs w:val="22"/>
        </w:rPr>
        <w:t xml:space="preserve"> population</w:t>
      </w:r>
      <w:r w:rsidR="005B7B12">
        <w:rPr>
          <w:rFonts w:ascii="Gill Sans MT" w:hAnsi="Gill Sans MT"/>
          <w:b w:val="0"/>
          <w:sz w:val="22"/>
          <w:szCs w:val="22"/>
        </w:rPr>
        <w:t>s</w:t>
      </w:r>
      <w:r w:rsidRPr="002C52E5">
        <w:rPr>
          <w:rFonts w:ascii="Gill Sans MT" w:hAnsi="Gill Sans MT"/>
          <w:b w:val="0"/>
          <w:sz w:val="22"/>
          <w:szCs w:val="22"/>
        </w:rPr>
        <w:t xml:space="preserve"> and </w:t>
      </w:r>
      <w:r>
        <w:rPr>
          <w:rFonts w:ascii="Gill Sans MT" w:hAnsi="Gill Sans MT"/>
          <w:b w:val="0"/>
          <w:sz w:val="22"/>
          <w:szCs w:val="22"/>
        </w:rPr>
        <w:t xml:space="preserve">concentrated </w:t>
      </w:r>
      <w:r w:rsidRPr="002C52E5">
        <w:rPr>
          <w:rFonts w:ascii="Gill Sans MT" w:hAnsi="Gill Sans MT"/>
          <w:b w:val="0"/>
          <w:sz w:val="22"/>
          <w:szCs w:val="22"/>
        </w:rPr>
        <w:t>invest</w:t>
      </w:r>
      <w:r>
        <w:rPr>
          <w:rFonts w:ascii="Gill Sans MT" w:hAnsi="Gill Sans MT"/>
          <w:b w:val="0"/>
          <w:sz w:val="22"/>
          <w:szCs w:val="22"/>
        </w:rPr>
        <w:t xml:space="preserve">ment in </w:t>
      </w:r>
      <w:r w:rsidRPr="002C52E5">
        <w:rPr>
          <w:rFonts w:ascii="Gill Sans MT" w:hAnsi="Gill Sans MT"/>
          <w:b w:val="0"/>
          <w:sz w:val="22"/>
          <w:szCs w:val="22"/>
        </w:rPr>
        <w:t xml:space="preserve">capital provide a basis for high risk </w:t>
      </w:r>
      <w:r w:rsidRPr="002C52E5">
        <w:rPr>
          <w:rFonts w:ascii="Gill Sans MT" w:hAnsi="Gill Sans MT"/>
          <w:b w:val="0"/>
          <w:sz w:val="22"/>
          <w:szCs w:val="22"/>
        </w:rPr>
        <w:lastRenderedPageBreak/>
        <w:t>accumulation.</w:t>
      </w:r>
      <w:r w:rsidR="005B7B12">
        <w:rPr>
          <w:rFonts w:ascii="Gill Sans MT" w:hAnsi="Gill Sans MT"/>
          <w:b w:val="0"/>
          <w:sz w:val="22"/>
          <w:szCs w:val="22"/>
        </w:rPr>
        <w:t xml:space="preserve"> What this means for Africa is to have a relook at the way disasters have been countered. </w:t>
      </w:r>
    </w:p>
    <w:p w:rsidR="004F1A0C" w:rsidRDefault="00C6416C" w:rsidP="001B16B9">
      <w:pPr>
        <w:pStyle w:val="Heading4"/>
        <w:spacing w:before="120" w:beforeAutospacing="0" w:after="120" w:afterAutospacing="0" w:line="264" w:lineRule="auto"/>
        <w:jc w:val="both"/>
        <w:rPr>
          <w:rFonts w:ascii="Gill Sans MT" w:hAnsi="Gill Sans MT"/>
        </w:rPr>
      </w:pPr>
      <w:r w:rsidRPr="00464182">
        <w:rPr>
          <w:rFonts w:ascii="Gill Sans MT" w:hAnsi="Gill Sans MT"/>
        </w:rPr>
        <w:t xml:space="preserve">Changing </w:t>
      </w:r>
      <w:r w:rsidR="00464182" w:rsidRPr="00464182">
        <w:rPr>
          <w:rFonts w:ascii="Gill Sans MT" w:hAnsi="Gill Sans MT"/>
        </w:rPr>
        <w:t xml:space="preserve">Disaster </w:t>
      </w:r>
      <w:r w:rsidRPr="00464182">
        <w:rPr>
          <w:rFonts w:ascii="Gill Sans MT" w:hAnsi="Gill Sans MT"/>
        </w:rPr>
        <w:t>Paradigms</w:t>
      </w:r>
    </w:p>
    <w:p w:rsidR="00D31272" w:rsidRDefault="006101B5" w:rsidP="00D31272">
      <w:pPr>
        <w:pStyle w:val="Heading4"/>
        <w:spacing w:before="120" w:beforeAutospacing="0" w:after="120" w:afterAutospacing="0" w:line="264" w:lineRule="auto"/>
        <w:jc w:val="both"/>
        <w:rPr>
          <w:rFonts w:ascii="Gill Sans MT" w:hAnsi="Gill Sans MT"/>
          <w:b w:val="0"/>
          <w:sz w:val="22"/>
          <w:szCs w:val="22"/>
        </w:rPr>
      </w:pPr>
      <w:r w:rsidRPr="006101B5">
        <w:rPr>
          <w:rFonts w:ascii="Gill Sans MT" w:hAnsi="Gill Sans MT"/>
          <w:b w:val="0"/>
          <w:sz w:val="22"/>
          <w:szCs w:val="22"/>
        </w:rPr>
        <w:t xml:space="preserve">Efforts to address disasters can be </w:t>
      </w:r>
      <w:r w:rsidR="003249BF">
        <w:rPr>
          <w:rFonts w:ascii="Gill Sans MT" w:hAnsi="Gill Sans MT"/>
          <w:b w:val="0"/>
          <w:sz w:val="22"/>
          <w:szCs w:val="22"/>
        </w:rPr>
        <w:t xml:space="preserve">paraphrased </w:t>
      </w:r>
      <w:r w:rsidRPr="006101B5">
        <w:rPr>
          <w:rFonts w:ascii="Gill Sans MT" w:hAnsi="Gill Sans MT"/>
          <w:b w:val="0"/>
          <w:sz w:val="22"/>
          <w:szCs w:val="22"/>
        </w:rPr>
        <w:t xml:space="preserve">under three related paradigms. </w:t>
      </w:r>
      <w:r w:rsidR="00D31272" w:rsidRPr="00D31272">
        <w:rPr>
          <w:rFonts w:ascii="Gill Sans MT" w:hAnsi="Gill Sans MT"/>
          <w:b w:val="0"/>
          <w:sz w:val="22"/>
          <w:szCs w:val="22"/>
        </w:rPr>
        <w:t xml:space="preserve">Since the Biafra war (Nigeria 1967-1970), Africa </w:t>
      </w:r>
      <w:r w:rsidR="0097438E">
        <w:rPr>
          <w:rFonts w:ascii="Gill Sans MT" w:hAnsi="Gill Sans MT"/>
          <w:b w:val="0"/>
          <w:sz w:val="22"/>
          <w:szCs w:val="22"/>
        </w:rPr>
        <w:t xml:space="preserve">has been </w:t>
      </w:r>
      <w:r w:rsidR="00D31272" w:rsidRPr="00D31272">
        <w:rPr>
          <w:rFonts w:ascii="Gill Sans MT" w:hAnsi="Gill Sans MT"/>
          <w:b w:val="0"/>
          <w:sz w:val="22"/>
          <w:szCs w:val="22"/>
        </w:rPr>
        <w:t xml:space="preserve">undertaking </w:t>
      </w:r>
      <w:r w:rsidR="00D31272" w:rsidRPr="0097438E">
        <w:rPr>
          <w:rFonts w:ascii="Gill Sans MT" w:hAnsi="Gill Sans MT"/>
          <w:sz w:val="22"/>
          <w:szCs w:val="22"/>
        </w:rPr>
        <w:t>humanitarian assistance</w:t>
      </w:r>
      <w:r w:rsidR="00D31272" w:rsidRPr="00D31272">
        <w:rPr>
          <w:rFonts w:ascii="Gill Sans MT" w:hAnsi="Gill Sans MT"/>
          <w:b w:val="0"/>
          <w:sz w:val="22"/>
          <w:szCs w:val="22"/>
        </w:rPr>
        <w:t xml:space="preserve"> activities for both civil conflict and disasters caused by natural hazard. </w:t>
      </w:r>
      <w:r w:rsidR="00D31272">
        <w:rPr>
          <w:rFonts w:ascii="Gill Sans MT" w:hAnsi="Gill Sans MT"/>
          <w:b w:val="0"/>
          <w:sz w:val="22"/>
          <w:szCs w:val="22"/>
        </w:rPr>
        <w:t>H</w:t>
      </w:r>
      <w:r w:rsidR="00D31272" w:rsidRPr="00D31272">
        <w:rPr>
          <w:rFonts w:ascii="Gill Sans MT" w:hAnsi="Gill Sans MT"/>
          <w:b w:val="0"/>
          <w:sz w:val="22"/>
          <w:szCs w:val="22"/>
        </w:rPr>
        <w:t xml:space="preserve">umanitarian assistance was guided </w:t>
      </w:r>
      <w:r w:rsidR="001B16B9">
        <w:rPr>
          <w:rFonts w:ascii="Gill Sans MT" w:hAnsi="Gill Sans MT"/>
          <w:b w:val="0"/>
          <w:sz w:val="22"/>
          <w:szCs w:val="22"/>
        </w:rPr>
        <w:t xml:space="preserve">by the principle of </w:t>
      </w:r>
      <w:r w:rsidR="00D31272" w:rsidRPr="00D31272">
        <w:rPr>
          <w:rFonts w:ascii="Gill Sans MT" w:hAnsi="Gill Sans MT"/>
          <w:b w:val="0"/>
          <w:sz w:val="22"/>
          <w:szCs w:val="22"/>
        </w:rPr>
        <w:t xml:space="preserve">“exceptional intervention </w:t>
      </w:r>
      <w:r w:rsidR="001B16B9">
        <w:rPr>
          <w:rFonts w:ascii="Gill Sans MT" w:hAnsi="Gill Sans MT"/>
          <w:b w:val="0"/>
          <w:sz w:val="22"/>
          <w:szCs w:val="22"/>
        </w:rPr>
        <w:t>with</w:t>
      </w:r>
      <w:r w:rsidR="00D31272" w:rsidRPr="00D31272">
        <w:rPr>
          <w:rFonts w:ascii="Gill Sans MT" w:hAnsi="Gill Sans MT"/>
          <w:b w:val="0"/>
          <w:sz w:val="22"/>
          <w:szCs w:val="22"/>
        </w:rPr>
        <w:t xml:space="preserve"> limited time” in order to restore the situation before the disaster, and, “go back home” waiting for the next disaster.</w:t>
      </w:r>
      <w:r w:rsidR="0097438E">
        <w:rPr>
          <w:rFonts w:ascii="Gill Sans MT" w:hAnsi="Gill Sans MT"/>
          <w:b w:val="0"/>
          <w:sz w:val="22"/>
          <w:szCs w:val="22"/>
        </w:rPr>
        <w:t xml:space="preserve"> </w:t>
      </w:r>
    </w:p>
    <w:p w:rsidR="0097438E" w:rsidRDefault="0097438E" w:rsidP="00D31272">
      <w:pPr>
        <w:pStyle w:val="Heading4"/>
        <w:spacing w:before="120" w:beforeAutospacing="0" w:after="120" w:afterAutospacing="0" w:line="264" w:lineRule="auto"/>
        <w:jc w:val="both"/>
        <w:rPr>
          <w:rFonts w:ascii="Gill Sans MT" w:hAnsi="Gill Sans MT"/>
          <w:b w:val="0"/>
          <w:sz w:val="22"/>
          <w:szCs w:val="22"/>
        </w:rPr>
      </w:pPr>
      <w:r>
        <w:rPr>
          <w:rFonts w:ascii="Gill Sans MT" w:hAnsi="Gill Sans MT"/>
          <w:b w:val="0"/>
          <w:sz w:val="22"/>
          <w:szCs w:val="22"/>
        </w:rPr>
        <w:t xml:space="preserve">The second paradigm was marked by </w:t>
      </w:r>
      <w:r w:rsidR="00C625C2" w:rsidRPr="009A7BFD">
        <w:rPr>
          <w:rFonts w:ascii="Gill Sans MT" w:hAnsi="Gill Sans MT"/>
          <w:sz w:val="22"/>
          <w:szCs w:val="22"/>
        </w:rPr>
        <w:t>disaster risk reduction</w:t>
      </w:r>
      <w:r w:rsidR="001B16B9">
        <w:rPr>
          <w:rFonts w:ascii="Gill Sans MT" w:hAnsi="Gill Sans MT"/>
          <w:sz w:val="22"/>
          <w:szCs w:val="22"/>
        </w:rPr>
        <w:t xml:space="preserve"> </w:t>
      </w:r>
      <w:r w:rsidR="001B16B9">
        <w:rPr>
          <w:rFonts w:ascii="Gill Sans MT" w:hAnsi="Gill Sans MT"/>
          <w:b w:val="0"/>
          <w:sz w:val="22"/>
          <w:szCs w:val="22"/>
        </w:rPr>
        <w:t>efforts</w:t>
      </w:r>
      <w:r w:rsidR="00C625C2">
        <w:rPr>
          <w:rFonts w:ascii="Gill Sans MT" w:hAnsi="Gill Sans MT"/>
          <w:b w:val="0"/>
          <w:sz w:val="22"/>
          <w:szCs w:val="22"/>
        </w:rPr>
        <w:t xml:space="preserve">, starting with the International Decade for Natural Disaster Reduction: 1990-99, World Conference on Disaster Reduction and adoption of Yokohama Strategy 1994, International Strategy for Disaster Reduction 2000, and </w:t>
      </w:r>
      <w:r w:rsidR="001B16B9">
        <w:rPr>
          <w:rFonts w:ascii="Gill Sans MT" w:hAnsi="Gill Sans MT"/>
          <w:b w:val="0"/>
          <w:sz w:val="22"/>
          <w:szCs w:val="22"/>
        </w:rPr>
        <w:t>culminating in the</w:t>
      </w:r>
      <w:r w:rsidR="00C625C2">
        <w:rPr>
          <w:rFonts w:ascii="Gill Sans MT" w:hAnsi="Gill Sans MT"/>
          <w:b w:val="0"/>
          <w:sz w:val="22"/>
          <w:szCs w:val="22"/>
        </w:rPr>
        <w:t xml:space="preserve"> Hyogo Framework for Action 2005-2015. </w:t>
      </w:r>
      <w:r w:rsidR="00587581">
        <w:rPr>
          <w:rFonts w:ascii="Gill Sans MT" w:hAnsi="Gill Sans MT"/>
          <w:b w:val="0"/>
          <w:sz w:val="22"/>
          <w:szCs w:val="22"/>
        </w:rPr>
        <w:t xml:space="preserve">Though this was a major shift </w:t>
      </w:r>
      <w:r w:rsidR="00532930">
        <w:rPr>
          <w:rFonts w:ascii="Gill Sans MT" w:hAnsi="Gill Sans MT"/>
          <w:b w:val="0"/>
          <w:sz w:val="22"/>
          <w:szCs w:val="22"/>
        </w:rPr>
        <w:t xml:space="preserve">in focus from </w:t>
      </w:r>
      <w:r w:rsidR="00067A4A">
        <w:rPr>
          <w:rFonts w:ascii="Gill Sans MT" w:hAnsi="Gill Sans MT"/>
          <w:b w:val="0"/>
          <w:sz w:val="22"/>
          <w:szCs w:val="22"/>
        </w:rPr>
        <w:t xml:space="preserve">a </w:t>
      </w:r>
      <w:r w:rsidR="00532930">
        <w:rPr>
          <w:rFonts w:ascii="Gill Sans MT" w:hAnsi="Gill Sans MT"/>
          <w:b w:val="0"/>
          <w:sz w:val="22"/>
          <w:szCs w:val="22"/>
        </w:rPr>
        <w:t>‘fire brigade approach’</w:t>
      </w:r>
      <w:r w:rsidR="00067A4A">
        <w:rPr>
          <w:rFonts w:ascii="Gill Sans MT" w:hAnsi="Gill Sans MT"/>
          <w:b w:val="0"/>
          <w:sz w:val="22"/>
          <w:szCs w:val="22"/>
        </w:rPr>
        <w:t xml:space="preserve"> to proactive risk management</w:t>
      </w:r>
      <w:r w:rsidR="001B16B9">
        <w:rPr>
          <w:rFonts w:ascii="Gill Sans MT" w:hAnsi="Gill Sans MT"/>
          <w:b w:val="0"/>
          <w:sz w:val="22"/>
          <w:szCs w:val="22"/>
        </w:rPr>
        <w:t xml:space="preserve"> approach</w:t>
      </w:r>
      <w:r w:rsidR="00067A4A">
        <w:rPr>
          <w:rFonts w:ascii="Gill Sans MT" w:hAnsi="Gill Sans MT"/>
          <w:b w:val="0"/>
          <w:sz w:val="22"/>
          <w:szCs w:val="22"/>
        </w:rPr>
        <w:t xml:space="preserve">, the emphasis remained on </w:t>
      </w:r>
      <w:r w:rsidR="001B16B9">
        <w:rPr>
          <w:rFonts w:ascii="Gill Sans MT" w:hAnsi="Gill Sans MT"/>
          <w:b w:val="0"/>
          <w:sz w:val="22"/>
          <w:szCs w:val="22"/>
        </w:rPr>
        <w:t>reduction alone and not prevention</w:t>
      </w:r>
      <w:r w:rsidR="00067A4A">
        <w:rPr>
          <w:rFonts w:ascii="Gill Sans MT" w:hAnsi="Gill Sans MT"/>
          <w:b w:val="0"/>
          <w:sz w:val="22"/>
          <w:szCs w:val="22"/>
        </w:rPr>
        <w:t>.</w:t>
      </w:r>
    </w:p>
    <w:p w:rsidR="00067A4A" w:rsidRDefault="003A0155" w:rsidP="00D31272">
      <w:pPr>
        <w:pStyle w:val="Heading4"/>
        <w:spacing w:before="120" w:beforeAutospacing="0" w:after="120" w:afterAutospacing="0" w:line="264" w:lineRule="auto"/>
        <w:jc w:val="both"/>
        <w:rPr>
          <w:rFonts w:ascii="Gill Sans MT" w:hAnsi="Gill Sans MT"/>
          <w:b w:val="0"/>
          <w:sz w:val="22"/>
          <w:szCs w:val="22"/>
        </w:rPr>
      </w:pPr>
      <w:r>
        <w:rPr>
          <w:rFonts w:ascii="Gill Sans MT" w:hAnsi="Gill Sans MT"/>
          <w:b w:val="0"/>
          <w:sz w:val="22"/>
          <w:szCs w:val="22"/>
        </w:rPr>
        <w:t>The lessons learnt from the implementation of HFA ha</w:t>
      </w:r>
      <w:r w:rsidR="00EB51A8">
        <w:rPr>
          <w:rFonts w:ascii="Gill Sans MT" w:hAnsi="Gill Sans MT"/>
          <w:b w:val="0"/>
          <w:sz w:val="22"/>
          <w:szCs w:val="22"/>
        </w:rPr>
        <w:t>ve</w:t>
      </w:r>
      <w:r>
        <w:rPr>
          <w:rFonts w:ascii="Gill Sans MT" w:hAnsi="Gill Sans MT"/>
          <w:b w:val="0"/>
          <w:sz w:val="22"/>
          <w:szCs w:val="22"/>
        </w:rPr>
        <w:t xml:space="preserve"> led to the third paradigm</w:t>
      </w:r>
      <w:r w:rsidR="001904BC">
        <w:rPr>
          <w:rFonts w:ascii="Gill Sans MT" w:hAnsi="Gill Sans MT"/>
          <w:b w:val="0"/>
          <w:sz w:val="22"/>
          <w:szCs w:val="22"/>
        </w:rPr>
        <w:t xml:space="preserve"> – risks are not extraneous to development but ar</w:t>
      </w:r>
      <w:r w:rsidR="001B16B9">
        <w:rPr>
          <w:rFonts w:ascii="Gill Sans MT" w:hAnsi="Gill Sans MT"/>
          <w:b w:val="0"/>
          <w:sz w:val="22"/>
          <w:szCs w:val="22"/>
        </w:rPr>
        <w:t>e also driven by and resulting from</w:t>
      </w:r>
      <w:r w:rsidR="001904BC">
        <w:rPr>
          <w:rFonts w:ascii="Gill Sans MT" w:hAnsi="Gill Sans MT"/>
          <w:b w:val="0"/>
          <w:sz w:val="22"/>
          <w:szCs w:val="22"/>
        </w:rPr>
        <w:t xml:space="preserve"> development processes. </w:t>
      </w:r>
      <w:r w:rsidR="00D974CD">
        <w:rPr>
          <w:rFonts w:ascii="Gill Sans MT" w:hAnsi="Gill Sans MT"/>
          <w:b w:val="0"/>
          <w:sz w:val="22"/>
          <w:szCs w:val="22"/>
        </w:rPr>
        <w:t xml:space="preserve">This is exemplified by the fact that DRR </w:t>
      </w:r>
      <w:r w:rsidR="001B16B9">
        <w:rPr>
          <w:rFonts w:ascii="Gill Sans MT" w:hAnsi="Gill Sans MT"/>
          <w:b w:val="0"/>
          <w:sz w:val="22"/>
          <w:szCs w:val="22"/>
        </w:rPr>
        <w:t xml:space="preserve">(supporting </w:t>
      </w:r>
      <w:proofErr w:type="spellStart"/>
      <w:r w:rsidR="001B16B9">
        <w:rPr>
          <w:rFonts w:ascii="Gill Sans MT" w:hAnsi="Gill Sans MT"/>
          <w:b w:val="0"/>
          <w:sz w:val="22"/>
          <w:szCs w:val="22"/>
        </w:rPr>
        <w:t>respons</w:t>
      </w:r>
      <w:proofErr w:type="spellEnd"/>
      <w:r w:rsidR="001B16B9">
        <w:rPr>
          <w:rFonts w:ascii="Gill Sans MT" w:hAnsi="Gill Sans MT"/>
          <w:b w:val="0"/>
          <w:sz w:val="22"/>
          <w:szCs w:val="22"/>
        </w:rPr>
        <w:t xml:space="preserve">-driven actions) did lead </w:t>
      </w:r>
      <w:r w:rsidR="00D974CD">
        <w:rPr>
          <w:rFonts w:ascii="Gill Sans MT" w:hAnsi="Gill Sans MT"/>
          <w:b w:val="0"/>
          <w:sz w:val="22"/>
          <w:szCs w:val="22"/>
        </w:rPr>
        <w:t xml:space="preserve">to reduction in mortality levels, but could not prevent economic </w:t>
      </w:r>
      <w:r w:rsidR="00F7625B">
        <w:rPr>
          <w:rFonts w:ascii="Gill Sans MT" w:hAnsi="Gill Sans MT"/>
          <w:b w:val="0"/>
          <w:sz w:val="22"/>
          <w:szCs w:val="22"/>
        </w:rPr>
        <w:t>losses</w:t>
      </w:r>
      <w:r w:rsidR="001B16B9">
        <w:rPr>
          <w:rFonts w:ascii="Gill Sans MT" w:hAnsi="Gill Sans MT"/>
          <w:b w:val="0"/>
          <w:sz w:val="22"/>
          <w:szCs w:val="22"/>
        </w:rPr>
        <w:t>. These, a</w:t>
      </w:r>
      <w:r w:rsidR="00F7625B">
        <w:rPr>
          <w:rFonts w:ascii="Gill Sans MT" w:hAnsi="Gill Sans MT"/>
          <w:b w:val="0"/>
          <w:sz w:val="22"/>
          <w:szCs w:val="22"/>
        </w:rPr>
        <w:t xml:space="preserve">s pointed </w:t>
      </w:r>
      <w:r w:rsidR="001B16B9">
        <w:rPr>
          <w:rFonts w:ascii="Gill Sans MT" w:hAnsi="Gill Sans MT"/>
          <w:b w:val="0"/>
          <w:sz w:val="22"/>
          <w:szCs w:val="22"/>
        </w:rPr>
        <w:t xml:space="preserve">out </w:t>
      </w:r>
      <w:r w:rsidR="00F7625B">
        <w:rPr>
          <w:rFonts w:ascii="Gill Sans MT" w:hAnsi="Gill Sans MT"/>
          <w:b w:val="0"/>
          <w:sz w:val="22"/>
          <w:szCs w:val="22"/>
        </w:rPr>
        <w:t xml:space="preserve">earlier, </w:t>
      </w:r>
      <w:r w:rsidR="001B16B9">
        <w:rPr>
          <w:rFonts w:ascii="Gill Sans MT" w:hAnsi="Gill Sans MT"/>
          <w:b w:val="0"/>
          <w:sz w:val="22"/>
          <w:szCs w:val="22"/>
        </w:rPr>
        <w:t>are</w:t>
      </w:r>
      <w:r w:rsidR="00F7625B">
        <w:rPr>
          <w:rFonts w:ascii="Gill Sans MT" w:hAnsi="Gill Sans MT"/>
          <w:b w:val="0"/>
          <w:sz w:val="22"/>
          <w:szCs w:val="22"/>
        </w:rPr>
        <w:t xml:space="preserve"> </w:t>
      </w:r>
      <w:r w:rsidR="00B2057C">
        <w:rPr>
          <w:rFonts w:ascii="Gill Sans MT" w:hAnsi="Gill Sans MT"/>
          <w:b w:val="0"/>
          <w:sz w:val="22"/>
          <w:szCs w:val="22"/>
        </w:rPr>
        <w:t xml:space="preserve">accentuated </w:t>
      </w:r>
      <w:r w:rsidR="00F7625B">
        <w:rPr>
          <w:rFonts w:ascii="Gill Sans MT" w:hAnsi="Gill Sans MT"/>
          <w:b w:val="0"/>
          <w:sz w:val="22"/>
          <w:szCs w:val="22"/>
        </w:rPr>
        <w:t xml:space="preserve">by rapid urbanisation and capital concentration. </w:t>
      </w:r>
      <w:r w:rsidR="005D362C">
        <w:rPr>
          <w:rFonts w:ascii="Gill Sans MT" w:hAnsi="Gill Sans MT"/>
          <w:b w:val="0"/>
          <w:sz w:val="22"/>
          <w:szCs w:val="22"/>
        </w:rPr>
        <w:t>This paradigm</w:t>
      </w:r>
      <w:r w:rsidR="001B16B9">
        <w:rPr>
          <w:rFonts w:ascii="Gill Sans MT" w:hAnsi="Gill Sans MT"/>
          <w:b w:val="0"/>
          <w:sz w:val="22"/>
          <w:szCs w:val="22"/>
        </w:rPr>
        <w:t>, focused on risk prevention</w:t>
      </w:r>
      <w:r w:rsidR="005D362C">
        <w:rPr>
          <w:rFonts w:ascii="Gill Sans MT" w:hAnsi="Gill Sans MT"/>
          <w:b w:val="0"/>
          <w:sz w:val="22"/>
          <w:szCs w:val="22"/>
        </w:rPr>
        <w:t xml:space="preserve"> </w:t>
      </w:r>
      <w:r w:rsidR="001B16B9">
        <w:rPr>
          <w:rFonts w:ascii="Gill Sans MT" w:hAnsi="Gill Sans MT"/>
          <w:b w:val="0"/>
          <w:sz w:val="22"/>
          <w:szCs w:val="22"/>
        </w:rPr>
        <w:t xml:space="preserve">and reduction and investment for resilience, </w:t>
      </w:r>
      <w:r w:rsidR="005D362C">
        <w:rPr>
          <w:rFonts w:ascii="Gill Sans MT" w:hAnsi="Gill Sans MT"/>
          <w:b w:val="0"/>
          <w:sz w:val="22"/>
          <w:szCs w:val="22"/>
        </w:rPr>
        <w:t xml:space="preserve">is expected to be reflected in the </w:t>
      </w:r>
      <w:r w:rsidR="005D362C" w:rsidRPr="001B16B9">
        <w:rPr>
          <w:rFonts w:ascii="Gill Sans MT" w:hAnsi="Gill Sans MT"/>
          <w:sz w:val="22"/>
          <w:szCs w:val="22"/>
        </w:rPr>
        <w:t>post-2015 framew</w:t>
      </w:r>
      <w:r w:rsidR="001B16B9" w:rsidRPr="001B16B9">
        <w:rPr>
          <w:rFonts w:ascii="Gill Sans MT" w:hAnsi="Gill Sans MT"/>
          <w:sz w:val="22"/>
          <w:szCs w:val="22"/>
        </w:rPr>
        <w:t>ork</w:t>
      </w:r>
      <w:r w:rsidR="001B16B9">
        <w:rPr>
          <w:rFonts w:ascii="Gill Sans MT" w:hAnsi="Gill Sans MT"/>
          <w:b w:val="0"/>
          <w:sz w:val="22"/>
          <w:szCs w:val="22"/>
        </w:rPr>
        <w:t xml:space="preserve"> for disaster risk reduction</w:t>
      </w:r>
      <w:r w:rsidR="005D362C">
        <w:rPr>
          <w:rFonts w:ascii="Gill Sans MT" w:hAnsi="Gill Sans MT"/>
          <w:b w:val="0"/>
          <w:sz w:val="22"/>
          <w:szCs w:val="22"/>
        </w:rPr>
        <w:t xml:space="preserve">. </w:t>
      </w:r>
    </w:p>
    <w:p w:rsidR="002C330E" w:rsidRDefault="002C330E" w:rsidP="00204593">
      <w:pPr>
        <w:pStyle w:val="Heading4"/>
        <w:spacing w:before="120" w:beforeAutospacing="0" w:after="120" w:afterAutospacing="0" w:line="264" w:lineRule="auto"/>
        <w:jc w:val="both"/>
        <w:rPr>
          <w:rFonts w:ascii="Gill Sans MT" w:hAnsi="Gill Sans MT"/>
        </w:rPr>
      </w:pPr>
      <w:r>
        <w:rPr>
          <w:rFonts w:ascii="Gill Sans MT" w:hAnsi="Gill Sans MT"/>
        </w:rPr>
        <w:lastRenderedPageBreak/>
        <w:t>The Africa Working Group</w:t>
      </w:r>
    </w:p>
    <w:p w:rsidR="002C330E" w:rsidRDefault="00010AB6" w:rsidP="00010AB6">
      <w:pPr>
        <w:pStyle w:val="Heading4"/>
        <w:spacing w:before="120" w:beforeAutospacing="0" w:after="120" w:afterAutospacing="0" w:line="264" w:lineRule="auto"/>
        <w:jc w:val="both"/>
        <w:rPr>
          <w:rFonts w:ascii="Gill Sans MT" w:hAnsi="Gill Sans MT"/>
          <w:b w:val="0"/>
          <w:sz w:val="22"/>
          <w:szCs w:val="22"/>
        </w:rPr>
      </w:pPr>
      <w:r w:rsidRPr="00010AB6">
        <w:rPr>
          <w:rFonts w:ascii="Gill Sans MT" w:hAnsi="Gill Sans MT"/>
          <w:b w:val="0"/>
          <w:sz w:val="22"/>
          <w:szCs w:val="22"/>
        </w:rPr>
        <w:t>The need for an Africa Working Group on Disaster Risk Reduction was first proposed by the U</w:t>
      </w:r>
      <w:r>
        <w:rPr>
          <w:rFonts w:ascii="Gill Sans MT" w:hAnsi="Gill Sans MT"/>
          <w:b w:val="0"/>
          <w:sz w:val="22"/>
          <w:szCs w:val="22"/>
        </w:rPr>
        <w:t>N</w:t>
      </w:r>
      <w:r w:rsidRPr="00010AB6">
        <w:rPr>
          <w:rFonts w:ascii="Gill Sans MT" w:hAnsi="Gill Sans MT"/>
          <w:b w:val="0"/>
          <w:sz w:val="22"/>
          <w:szCs w:val="22"/>
        </w:rPr>
        <w:t xml:space="preserve"> Inter-Agency Task Force on DRR at its 8th meeting held in Geneva, November 2003.</w:t>
      </w:r>
      <w:r>
        <w:rPr>
          <w:rFonts w:ascii="Gill Sans MT" w:hAnsi="Gill Sans MT"/>
          <w:b w:val="0"/>
          <w:sz w:val="22"/>
          <w:szCs w:val="22"/>
        </w:rPr>
        <w:t xml:space="preserve"> The </w:t>
      </w:r>
      <w:r w:rsidRPr="00010AB6">
        <w:rPr>
          <w:rFonts w:ascii="Gill Sans MT" w:hAnsi="Gill Sans MT"/>
          <w:b w:val="0"/>
          <w:sz w:val="22"/>
          <w:szCs w:val="22"/>
        </w:rPr>
        <w:t>First African Ministerial Conference on Disaster Risk Reduction (Addis Ababa, December 2005) called for the establishment of the Working Group, while the Second African Ministerial Conference on Disaster Risk Reduction (Nairobi, April 2010) called on t</w:t>
      </w:r>
      <w:r w:rsidR="00794990">
        <w:rPr>
          <w:rFonts w:ascii="Gill Sans MT" w:hAnsi="Gill Sans MT"/>
          <w:b w:val="0"/>
          <w:sz w:val="22"/>
          <w:szCs w:val="22"/>
        </w:rPr>
        <w:t>he African Union Commission to ‘</w:t>
      </w:r>
      <w:r w:rsidRPr="00010AB6">
        <w:rPr>
          <w:rFonts w:ascii="Gill Sans MT" w:hAnsi="Gill Sans MT"/>
          <w:b w:val="0"/>
          <w:sz w:val="22"/>
          <w:szCs w:val="22"/>
        </w:rPr>
        <w:t>reconstitute the Africa Working Group on Disaster Risk Reduction to provide coordination and technical support to Member States for the implementation of the Africa Regional Strategy for Disaster Risk Reducti</w:t>
      </w:r>
      <w:r w:rsidR="00794990">
        <w:rPr>
          <w:rFonts w:ascii="Gill Sans MT" w:hAnsi="Gill Sans MT"/>
          <w:b w:val="0"/>
          <w:sz w:val="22"/>
          <w:szCs w:val="22"/>
        </w:rPr>
        <w:t>on and its Programme of Action’.</w:t>
      </w:r>
    </w:p>
    <w:p w:rsidR="00D00578" w:rsidRDefault="005D2052" w:rsidP="00852949">
      <w:pPr>
        <w:pStyle w:val="Heading4"/>
        <w:spacing w:before="120" w:beforeAutospacing="0" w:after="120" w:afterAutospacing="0" w:line="264" w:lineRule="auto"/>
        <w:jc w:val="both"/>
        <w:rPr>
          <w:rFonts w:ascii="Gill Sans MT" w:hAnsi="Gill Sans MT"/>
          <w:b w:val="0"/>
          <w:sz w:val="22"/>
          <w:szCs w:val="22"/>
        </w:rPr>
      </w:pPr>
      <w:r>
        <w:rPr>
          <w:rFonts w:ascii="Gill Sans MT" w:hAnsi="Gill Sans MT"/>
          <w:b w:val="0"/>
          <w:sz w:val="22"/>
          <w:szCs w:val="22"/>
        </w:rPr>
        <w:t>T</w:t>
      </w:r>
      <w:r w:rsidR="00D00578">
        <w:rPr>
          <w:rFonts w:ascii="Gill Sans MT" w:hAnsi="Gill Sans MT"/>
          <w:b w:val="0"/>
          <w:sz w:val="22"/>
          <w:szCs w:val="22"/>
        </w:rPr>
        <w:t xml:space="preserve">he Africa Working Group </w:t>
      </w:r>
      <w:r w:rsidR="00852949" w:rsidRPr="00852949">
        <w:rPr>
          <w:rFonts w:ascii="Gill Sans MT" w:hAnsi="Gill Sans MT"/>
          <w:b w:val="0"/>
          <w:sz w:val="22"/>
          <w:szCs w:val="22"/>
        </w:rPr>
        <w:t>provide</w:t>
      </w:r>
      <w:r w:rsidR="00852949">
        <w:rPr>
          <w:rFonts w:ascii="Gill Sans MT" w:hAnsi="Gill Sans MT"/>
          <w:b w:val="0"/>
          <w:sz w:val="22"/>
          <w:szCs w:val="22"/>
        </w:rPr>
        <w:t>s</w:t>
      </w:r>
      <w:r w:rsidR="00852949" w:rsidRPr="00852949">
        <w:rPr>
          <w:rFonts w:ascii="Gill Sans MT" w:hAnsi="Gill Sans MT"/>
          <w:b w:val="0"/>
          <w:sz w:val="22"/>
          <w:szCs w:val="22"/>
        </w:rPr>
        <w:t xml:space="preserve"> coordination and technical support to AUC, RECs</w:t>
      </w:r>
      <w:r w:rsidR="00852949">
        <w:rPr>
          <w:rFonts w:ascii="Gill Sans MT" w:hAnsi="Gill Sans MT"/>
          <w:b w:val="0"/>
          <w:sz w:val="22"/>
          <w:szCs w:val="22"/>
        </w:rPr>
        <w:t>,</w:t>
      </w:r>
      <w:r w:rsidR="00852949" w:rsidRPr="00852949">
        <w:rPr>
          <w:rFonts w:ascii="Gill Sans MT" w:hAnsi="Gill Sans MT"/>
          <w:b w:val="0"/>
          <w:sz w:val="22"/>
          <w:szCs w:val="22"/>
        </w:rPr>
        <w:t xml:space="preserve"> Member States and partners for the implementation of the Africa Regional Strategy for Disaster Risk Reduction and its Programme of Action</w:t>
      </w:r>
      <w:r>
        <w:rPr>
          <w:rFonts w:ascii="Gill Sans MT" w:hAnsi="Gill Sans MT"/>
          <w:b w:val="0"/>
          <w:sz w:val="22"/>
          <w:szCs w:val="22"/>
        </w:rPr>
        <w:t>, in line with HFA</w:t>
      </w:r>
      <w:r w:rsidR="00852949" w:rsidRPr="00852949">
        <w:rPr>
          <w:rFonts w:ascii="Gill Sans MT" w:hAnsi="Gill Sans MT"/>
          <w:b w:val="0"/>
          <w:sz w:val="22"/>
          <w:szCs w:val="22"/>
        </w:rPr>
        <w:t>.</w:t>
      </w:r>
      <w:r>
        <w:rPr>
          <w:rFonts w:ascii="Gill Sans MT" w:hAnsi="Gill Sans MT"/>
          <w:b w:val="0"/>
          <w:sz w:val="22"/>
          <w:szCs w:val="22"/>
        </w:rPr>
        <w:t xml:space="preserve"> The </w:t>
      </w:r>
      <w:r w:rsidR="001024D3">
        <w:rPr>
          <w:rFonts w:ascii="Gill Sans MT" w:hAnsi="Gill Sans MT"/>
          <w:b w:val="0"/>
          <w:sz w:val="22"/>
          <w:szCs w:val="22"/>
        </w:rPr>
        <w:t xml:space="preserve">AWG Core Group normally meets on a biannual basis while the AWG Extended Group meets annually, mainly in run up to or back-to-back with continental meetings or platforms. </w:t>
      </w:r>
    </w:p>
    <w:p w:rsidR="002C330E" w:rsidRDefault="00D2638B" w:rsidP="00251430">
      <w:pPr>
        <w:pStyle w:val="Heading4"/>
        <w:spacing w:before="240" w:beforeAutospacing="0" w:after="120" w:afterAutospacing="0" w:line="264" w:lineRule="auto"/>
        <w:jc w:val="both"/>
        <w:rPr>
          <w:rFonts w:ascii="Gill Sans MT" w:hAnsi="Gill Sans MT"/>
        </w:rPr>
      </w:pPr>
      <w:r>
        <w:rPr>
          <w:rFonts w:ascii="Gill Sans MT" w:hAnsi="Gill Sans MT"/>
        </w:rPr>
        <w:t>Objectives</w:t>
      </w:r>
      <w:r w:rsidR="00D028FF">
        <w:rPr>
          <w:rFonts w:ascii="Gill Sans MT" w:hAnsi="Gill Sans MT"/>
        </w:rPr>
        <w:t xml:space="preserve"> and Outputs</w:t>
      </w:r>
      <w:r>
        <w:rPr>
          <w:rFonts w:ascii="Gill Sans MT" w:hAnsi="Gill Sans MT"/>
        </w:rPr>
        <w:t xml:space="preserve"> of the Meeting</w:t>
      </w:r>
    </w:p>
    <w:p w:rsidR="009125FF" w:rsidRDefault="005D2052" w:rsidP="00204593">
      <w:pPr>
        <w:pStyle w:val="Heading4"/>
        <w:spacing w:before="120" w:beforeAutospacing="0" w:after="120" w:afterAutospacing="0" w:line="264" w:lineRule="auto"/>
        <w:jc w:val="both"/>
        <w:rPr>
          <w:rFonts w:ascii="Gill Sans MT" w:hAnsi="Gill Sans MT"/>
          <w:b w:val="0"/>
          <w:sz w:val="22"/>
          <w:szCs w:val="22"/>
        </w:rPr>
      </w:pPr>
      <w:r w:rsidRPr="005D2052">
        <w:rPr>
          <w:rFonts w:ascii="Gill Sans MT" w:hAnsi="Gill Sans MT"/>
          <w:b w:val="0"/>
          <w:sz w:val="22"/>
          <w:szCs w:val="22"/>
        </w:rPr>
        <w:t xml:space="preserve">The next AWG meeting </w:t>
      </w:r>
      <w:r>
        <w:rPr>
          <w:rFonts w:ascii="Gill Sans MT" w:hAnsi="Gill Sans MT"/>
          <w:b w:val="0"/>
          <w:sz w:val="22"/>
          <w:szCs w:val="22"/>
        </w:rPr>
        <w:t>is a</w:t>
      </w:r>
      <w:bookmarkStart w:id="0" w:name="_GoBack"/>
      <w:bookmarkEnd w:id="0"/>
      <w:r>
        <w:rPr>
          <w:rFonts w:ascii="Gill Sans MT" w:hAnsi="Gill Sans MT"/>
          <w:b w:val="0"/>
          <w:sz w:val="22"/>
          <w:szCs w:val="22"/>
        </w:rPr>
        <w:t xml:space="preserve">n extended </w:t>
      </w:r>
      <w:r w:rsidR="003D22FE">
        <w:rPr>
          <w:rFonts w:ascii="Gill Sans MT" w:hAnsi="Gill Sans MT"/>
          <w:b w:val="0"/>
          <w:sz w:val="22"/>
          <w:szCs w:val="22"/>
        </w:rPr>
        <w:t>one, being held in run-up to the Fifth Africa Regional Platform</w:t>
      </w:r>
      <w:r w:rsidR="00CE57DA">
        <w:rPr>
          <w:rFonts w:ascii="Gill Sans MT" w:hAnsi="Gill Sans MT"/>
          <w:b w:val="0"/>
          <w:sz w:val="22"/>
          <w:szCs w:val="22"/>
        </w:rPr>
        <w:t xml:space="preserve"> for Disaster Risk Reduction (Abuja, Nigeria, 5 – 8 </w:t>
      </w:r>
      <w:r w:rsidR="005D362C">
        <w:rPr>
          <w:rFonts w:ascii="Gill Sans MT" w:hAnsi="Gill Sans MT"/>
          <w:b w:val="0"/>
          <w:sz w:val="22"/>
          <w:szCs w:val="22"/>
        </w:rPr>
        <w:t>May 2014</w:t>
      </w:r>
      <w:r w:rsidR="00D85599">
        <w:rPr>
          <w:rFonts w:ascii="Gill Sans MT" w:hAnsi="Gill Sans MT"/>
          <w:b w:val="0"/>
          <w:sz w:val="22"/>
          <w:szCs w:val="22"/>
        </w:rPr>
        <w:t xml:space="preserve">: </w:t>
      </w:r>
      <w:hyperlink r:id="rId10" w:history="1">
        <w:r w:rsidR="00D85599" w:rsidRPr="00D85599">
          <w:rPr>
            <w:rStyle w:val="Hyperlink"/>
            <w:rFonts w:ascii="Gill Sans MT" w:hAnsi="Gill Sans MT" w:cs="Helv"/>
            <w:b w:val="0"/>
            <w:sz w:val="21"/>
            <w:szCs w:val="21"/>
            <w:lang w:val="en-US"/>
          </w:rPr>
          <w:t>www.preventionweb.net/afrp/2014</w:t>
        </w:r>
      </w:hyperlink>
      <w:r w:rsidR="005D362C">
        <w:rPr>
          <w:rFonts w:ascii="Gill Sans MT" w:hAnsi="Gill Sans MT"/>
          <w:b w:val="0"/>
          <w:sz w:val="22"/>
          <w:szCs w:val="22"/>
        </w:rPr>
        <w:t xml:space="preserve">) where the Africa Position </w:t>
      </w:r>
      <w:r w:rsidR="00F241AF">
        <w:rPr>
          <w:rFonts w:ascii="Gill Sans MT" w:hAnsi="Gill Sans MT"/>
          <w:b w:val="0"/>
          <w:sz w:val="22"/>
          <w:szCs w:val="22"/>
        </w:rPr>
        <w:t xml:space="preserve">on </w:t>
      </w:r>
      <w:r w:rsidR="005D362C">
        <w:rPr>
          <w:rFonts w:ascii="Gill Sans MT" w:hAnsi="Gill Sans MT"/>
          <w:b w:val="0"/>
          <w:sz w:val="22"/>
          <w:szCs w:val="22"/>
        </w:rPr>
        <w:t>HFA</w:t>
      </w:r>
      <w:r w:rsidR="00F241AF">
        <w:rPr>
          <w:rFonts w:ascii="Gill Sans MT" w:hAnsi="Gill Sans MT"/>
          <w:b w:val="0"/>
          <w:sz w:val="22"/>
          <w:szCs w:val="22"/>
        </w:rPr>
        <w:t>-</w:t>
      </w:r>
      <w:r w:rsidR="005D362C">
        <w:rPr>
          <w:rFonts w:ascii="Gill Sans MT" w:hAnsi="Gill Sans MT"/>
          <w:b w:val="0"/>
          <w:sz w:val="22"/>
          <w:szCs w:val="22"/>
        </w:rPr>
        <w:t>2</w:t>
      </w:r>
      <w:r w:rsidR="003E3C26">
        <w:rPr>
          <w:rFonts w:ascii="Gill Sans MT" w:hAnsi="Gill Sans MT"/>
          <w:b w:val="0"/>
          <w:sz w:val="22"/>
          <w:szCs w:val="22"/>
        </w:rPr>
        <w:t xml:space="preserve"> will be adopted through a </w:t>
      </w:r>
      <w:r w:rsidR="006C6BD9">
        <w:rPr>
          <w:rFonts w:ascii="Gill Sans MT" w:hAnsi="Gill Sans MT"/>
          <w:b w:val="0"/>
          <w:sz w:val="22"/>
          <w:szCs w:val="22"/>
        </w:rPr>
        <w:t>M</w:t>
      </w:r>
      <w:r w:rsidR="003E3C26">
        <w:rPr>
          <w:rFonts w:ascii="Gill Sans MT" w:hAnsi="Gill Sans MT"/>
          <w:b w:val="0"/>
          <w:sz w:val="22"/>
          <w:szCs w:val="22"/>
        </w:rPr>
        <w:t xml:space="preserve">inisterial </w:t>
      </w:r>
      <w:r w:rsidR="006C6BD9">
        <w:rPr>
          <w:rFonts w:ascii="Gill Sans MT" w:hAnsi="Gill Sans MT"/>
          <w:b w:val="0"/>
          <w:sz w:val="22"/>
          <w:szCs w:val="22"/>
        </w:rPr>
        <w:t>D</w:t>
      </w:r>
      <w:r w:rsidR="003E3C26">
        <w:rPr>
          <w:rFonts w:ascii="Gill Sans MT" w:hAnsi="Gill Sans MT"/>
          <w:b w:val="0"/>
          <w:sz w:val="22"/>
          <w:szCs w:val="22"/>
        </w:rPr>
        <w:t>eclaration.</w:t>
      </w:r>
      <w:r w:rsidR="00E66B24">
        <w:rPr>
          <w:rFonts w:ascii="Gill Sans MT" w:hAnsi="Gill Sans MT"/>
          <w:b w:val="0"/>
          <w:sz w:val="22"/>
          <w:szCs w:val="22"/>
        </w:rPr>
        <w:t xml:space="preserve"> </w:t>
      </w:r>
      <w:r w:rsidR="001E60A7">
        <w:rPr>
          <w:rFonts w:ascii="Gill Sans MT" w:hAnsi="Gill Sans MT"/>
          <w:b w:val="0"/>
          <w:sz w:val="22"/>
          <w:szCs w:val="22"/>
        </w:rPr>
        <w:t xml:space="preserve">The AWG is expected to work as the </w:t>
      </w:r>
      <w:r w:rsidR="00295B9E">
        <w:rPr>
          <w:rFonts w:ascii="Gill Sans MT" w:hAnsi="Gill Sans MT"/>
          <w:b w:val="0"/>
          <w:sz w:val="22"/>
          <w:szCs w:val="22"/>
        </w:rPr>
        <w:t>Advisory/</w:t>
      </w:r>
      <w:r w:rsidR="001E60A7">
        <w:rPr>
          <w:rFonts w:ascii="Gill Sans MT" w:hAnsi="Gill Sans MT"/>
          <w:b w:val="0"/>
          <w:sz w:val="22"/>
          <w:szCs w:val="22"/>
        </w:rPr>
        <w:t>Steering Committee for the Platform</w:t>
      </w:r>
      <w:r w:rsidR="009125FF">
        <w:rPr>
          <w:rFonts w:ascii="Gill Sans MT" w:hAnsi="Gill Sans MT"/>
          <w:b w:val="0"/>
          <w:sz w:val="22"/>
          <w:szCs w:val="22"/>
        </w:rPr>
        <w:t xml:space="preserve"> and would aim to:</w:t>
      </w:r>
    </w:p>
    <w:p w:rsidR="00D2638B" w:rsidRPr="00795BA2" w:rsidRDefault="009125FF" w:rsidP="00795BA2">
      <w:pPr>
        <w:pStyle w:val="Heading4"/>
        <w:numPr>
          <w:ilvl w:val="0"/>
          <w:numId w:val="6"/>
        </w:numPr>
        <w:spacing w:before="120" w:beforeAutospacing="0" w:after="120" w:afterAutospacing="0" w:line="264" w:lineRule="auto"/>
        <w:rPr>
          <w:rFonts w:ascii="Gill Sans MT" w:hAnsi="Gill Sans MT"/>
          <w:b w:val="0"/>
          <w:sz w:val="22"/>
          <w:szCs w:val="22"/>
        </w:rPr>
      </w:pPr>
      <w:r w:rsidRPr="00795BA2">
        <w:rPr>
          <w:rFonts w:ascii="Gill Sans MT" w:hAnsi="Gill Sans MT"/>
          <w:b w:val="0"/>
          <w:sz w:val="22"/>
          <w:szCs w:val="22"/>
        </w:rPr>
        <w:t xml:space="preserve">Refine and fine-tune the </w:t>
      </w:r>
      <w:r w:rsidR="00721ECE">
        <w:rPr>
          <w:rFonts w:ascii="Gill Sans MT" w:hAnsi="Gill Sans MT"/>
          <w:b w:val="0"/>
          <w:sz w:val="22"/>
          <w:szCs w:val="22"/>
        </w:rPr>
        <w:t xml:space="preserve">draft Africa Position on HFA-2, </w:t>
      </w:r>
      <w:r w:rsidRPr="00795BA2">
        <w:rPr>
          <w:rFonts w:ascii="Gill Sans MT" w:hAnsi="Gill Sans MT"/>
          <w:b w:val="0"/>
          <w:sz w:val="22"/>
          <w:szCs w:val="22"/>
        </w:rPr>
        <w:t>developed through a consultative process</w:t>
      </w:r>
      <w:r w:rsidR="00721ECE">
        <w:rPr>
          <w:rFonts w:ascii="Gill Sans MT" w:hAnsi="Gill Sans MT"/>
          <w:b w:val="0"/>
          <w:sz w:val="22"/>
          <w:szCs w:val="22"/>
        </w:rPr>
        <w:t>.</w:t>
      </w:r>
    </w:p>
    <w:p w:rsidR="009125FF" w:rsidRDefault="009125FF" w:rsidP="00795BA2">
      <w:pPr>
        <w:pStyle w:val="Heading4"/>
        <w:numPr>
          <w:ilvl w:val="0"/>
          <w:numId w:val="6"/>
        </w:numPr>
        <w:spacing w:before="120" w:beforeAutospacing="0" w:after="120" w:afterAutospacing="0" w:line="264" w:lineRule="auto"/>
        <w:rPr>
          <w:rFonts w:ascii="Gill Sans MT" w:hAnsi="Gill Sans MT"/>
          <w:b w:val="0"/>
          <w:sz w:val="22"/>
          <w:szCs w:val="22"/>
        </w:rPr>
      </w:pPr>
      <w:r>
        <w:rPr>
          <w:rFonts w:ascii="Gill Sans MT" w:hAnsi="Gill Sans MT"/>
          <w:b w:val="0"/>
          <w:sz w:val="22"/>
          <w:szCs w:val="22"/>
        </w:rPr>
        <w:t>Review DRR progress in Africa since the last AWG meeting</w:t>
      </w:r>
      <w:r w:rsidR="000911A2">
        <w:rPr>
          <w:rFonts w:ascii="Gill Sans MT" w:hAnsi="Gill Sans MT"/>
          <w:b w:val="0"/>
          <w:sz w:val="22"/>
          <w:szCs w:val="22"/>
        </w:rPr>
        <w:t xml:space="preserve"> (J</w:t>
      </w:r>
      <w:r w:rsidR="007C12E7">
        <w:rPr>
          <w:rFonts w:ascii="Gill Sans MT" w:hAnsi="Gill Sans MT"/>
          <w:b w:val="0"/>
          <w:sz w:val="22"/>
          <w:szCs w:val="22"/>
        </w:rPr>
        <w:t>ohannesburg, 18-19 April 2013)</w:t>
      </w:r>
    </w:p>
    <w:p w:rsidR="007C12E7" w:rsidRDefault="00D028FF" w:rsidP="00795BA2">
      <w:pPr>
        <w:pStyle w:val="Heading4"/>
        <w:numPr>
          <w:ilvl w:val="0"/>
          <w:numId w:val="6"/>
        </w:numPr>
        <w:spacing w:before="120" w:beforeAutospacing="0" w:after="120" w:afterAutospacing="0" w:line="264" w:lineRule="auto"/>
        <w:rPr>
          <w:rFonts w:ascii="Gill Sans MT" w:hAnsi="Gill Sans MT"/>
          <w:b w:val="0"/>
          <w:sz w:val="22"/>
          <w:szCs w:val="22"/>
        </w:rPr>
      </w:pPr>
      <w:r>
        <w:rPr>
          <w:rFonts w:ascii="Gill Sans MT" w:hAnsi="Gill Sans MT"/>
          <w:b w:val="0"/>
          <w:sz w:val="22"/>
          <w:szCs w:val="22"/>
        </w:rPr>
        <w:t>Update on action points as identified in the last meeting</w:t>
      </w:r>
    </w:p>
    <w:p w:rsidR="00D028FF" w:rsidRDefault="001A7E76" w:rsidP="00D028FF">
      <w:pPr>
        <w:pStyle w:val="Heading4"/>
        <w:spacing w:before="120" w:beforeAutospacing="0" w:after="120" w:afterAutospacing="0" w:line="264" w:lineRule="auto"/>
        <w:ind w:left="720" w:hanging="720"/>
        <w:jc w:val="both"/>
        <w:rPr>
          <w:rFonts w:ascii="Gill Sans MT" w:hAnsi="Gill Sans MT"/>
          <w:b w:val="0"/>
          <w:sz w:val="22"/>
          <w:szCs w:val="22"/>
        </w:rPr>
      </w:pPr>
      <w:r>
        <w:rPr>
          <w:rFonts w:ascii="Gill Sans MT" w:hAnsi="Gill Sans MT"/>
          <w:b w:val="0"/>
          <w:sz w:val="22"/>
          <w:szCs w:val="22"/>
        </w:rPr>
        <w:lastRenderedPageBreak/>
        <w:t>M</w:t>
      </w:r>
      <w:r w:rsidR="00D028FF">
        <w:rPr>
          <w:rFonts w:ascii="Gill Sans MT" w:hAnsi="Gill Sans MT"/>
          <w:b w:val="0"/>
          <w:sz w:val="22"/>
          <w:szCs w:val="22"/>
        </w:rPr>
        <w:t xml:space="preserve">eeting result </w:t>
      </w:r>
      <w:r>
        <w:rPr>
          <w:rFonts w:ascii="Gill Sans MT" w:hAnsi="Gill Sans MT"/>
          <w:b w:val="0"/>
          <w:sz w:val="22"/>
          <w:szCs w:val="22"/>
        </w:rPr>
        <w:t>expectations:</w:t>
      </w:r>
    </w:p>
    <w:p w:rsidR="00D028FF" w:rsidRDefault="003F05D1" w:rsidP="001A7E76">
      <w:pPr>
        <w:pStyle w:val="Heading4"/>
        <w:numPr>
          <w:ilvl w:val="0"/>
          <w:numId w:val="7"/>
        </w:numPr>
        <w:spacing w:before="40" w:beforeAutospacing="0" w:after="40" w:afterAutospacing="0"/>
        <w:jc w:val="both"/>
        <w:rPr>
          <w:rFonts w:ascii="Gill Sans MT" w:hAnsi="Gill Sans MT"/>
          <w:b w:val="0"/>
          <w:sz w:val="22"/>
          <w:szCs w:val="22"/>
        </w:rPr>
      </w:pPr>
      <w:r>
        <w:rPr>
          <w:rFonts w:ascii="Gill Sans MT" w:hAnsi="Gill Sans MT"/>
          <w:b w:val="0"/>
          <w:sz w:val="22"/>
          <w:szCs w:val="22"/>
        </w:rPr>
        <w:t>Final draft of the Africa Position on HFA-2</w:t>
      </w:r>
      <w:r w:rsidR="001A7E76">
        <w:rPr>
          <w:rFonts w:ascii="Gill Sans MT" w:hAnsi="Gill Sans MT"/>
          <w:b w:val="0"/>
          <w:sz w:val="22"/>
          <w:szCs w:val="22"/>
        </w:rPr>
        <w:t xml:space="preserve"> (to be presented to </w:t>
      </w:r>
      <w:proofErr w:type="spellStart"/>
      <w:r w:rsidR="001A7E76">
        <w:rPr>
          <w:rFonts w:ascii="Gill Sans MT" w:hAnsi="Gill Sans MT"/>
          <w:b w:val="0"/>
          <w:sz w:val="22"/>
          <w:szCs w:val="22"/>
        </w:rPr>
        <w:t>AfRP</w:t>
      </w:r>
      <w:proofErr w:type="spellEnd"/>
      <w:r w:rsidR="001A7E76">
        <w:rPr>
          <w:rFonts w:ascii="Gill Sans MT" w:hAnsi="Gill Sans MT"/>
          <w:b w:val="0"/>
          <w:sz w:val="22"/>
          <w:szCs w:val="22"/>
        </w:rPr>
        <w:t xml:space="preserve"> for consultation)</w:t>
      </w:r>
    </w:p>
    <w:p w:rsidR="003F05D1" w:rsidRDefault="00511251" w:rsidP="001A7E76">
      <w:pPr>
        <w:pStyle w:val="Heading4"/>
        <w:numPr>
          <w:ilvl w:val="0"/>
          <w:numId w:val="7"/>
        </w:numPr>
        <w:spacing w:before="40" w:beforeAutospacing="0" w:after="40" w:afterAutospacing="0"/>
        <w:jc w:val="both"/>
        <w:rPr>
          <w:rFonts w:ascii="Gill Sans MT" w:hAnsi="Gill Sans MT"/>
          <w:b w:val="0"/>
          <w:sz w:val="22"/>
          <w:szCs w:val="22"/>
        </w:rPr>
      </w:pPr>
      <w:r>
        <w:rPr>
          <w:rFonts w:ascii="Gill Sans MT" w:hAnsi="Gill Sans MT"/>
          <w:b w:val="0"/>
          <w:sz w:val="22"/>
          <w:szCs w:val="22"/>
        </w:rPr>
        <w:t>Other draft documents, as deemed necessary for the Africa Regional Platform</w:t>
      </w:r>
    </w:p>
    <w:p w:rsidR="007F4AE1" w:rsidRDefault="007F4AE1" w:rsidP="001A7E76">
      <w:pPr>
        <w:pStyle w:val="Heading4"/>
        <w:numPr>
          <w:ilvl w:val="0"/>
          <w:numId w:val="7"/>
        </w:numPr>
        <w:spacing w:before="40" w:beforeAutospacing="0" w:after="40" w:afterAutospacing="0"/>
        <w:jc w:val="both"/>
        <w:rPr>
          <w:rFonts w:ascii="Gill Sans MT" w:hAnsi="Gill Sans MT"/>
          <w:b w:val="0"/>
          <w:sz w:val="22"/>
          <w:szCs w:val="22"/>
        </w:rPr>
      </w:pPr>
      <w:r>
        <w:rPr>
          <w:rFonts w:ascii="Gill Sans MT" w:hAnsi="Gill Sans MT"/>
          <w:b w:val="0"/>
          <w:sz w:val="22"/>
          <w:szCs w:val="22"/>
        </w:rPr>
        <w:t xml:space="preserve">Agreed </w:t>
      </w:r>
      <w:r w:rsidR="001A7E76">
        <w:rPr>
          <w:rFonts w:ascii="Gill Sans MT" w:hAnsi="Gill Sans MT"/>
          <w:b w:val="0"/>
          <w:sz w:val="22"/>
          <w:szCs w:val="22"/>
        </w:rPr>
        <w:t xml:space="preserve">programme </w:t>
      </w:r>
      <w:r>
        <w:rPr>
          <w:rFonts w:ascii="Gill Sans MT" w:hAnsi="Gill Sans MT"/>
          <w:b w:val="0"/>
          <w:sz w:val="22"/>
          <w:szCs w:val="22"/>
        </w:rPr>
        <w:t xml:space="preserve">for the </w:t>
      </w:r>
      <w:proofErr w:type="spellStart"/>
      <w:r>
        <w:rPr>
          <w:rFonts w:ascii="Gill Sans MT" w:hAnsi="Gill Sans MT"/>
          <w:b w:val="0"/>
          <w:sz w:val="22"/>
          <w:szCs w:val="22"/>
        </w:rPr>
        <w:t>AfRP</w:t>
      </w:r>
      <w:proofErr w:type="spellEnd"/>
    </w:p>
    <w:p w:rsidR="00511251" w:rsidRDefault="007F4AE1" w:rsidP="001A7E76">
      <w:pPr>
        <w:pStyle w:val="Heading4"/>
        <w:numPr>
          <w:ilvl w:val="0"/>
          <w:numId w:val="7"/>
        </w:numPr>
        <w:spacing w:before="40" w:beforeAutospacing="0" w:after="40" w:afterAutospacing="0"/>
        <w:jc w:val="both"/>
        <w:rPr>
          <w:rFonts w:ascii="Gill Sans MT" w:hAnsi="Gill Sans MT"/>
          <w:b w:val="0"/>
          <w:sz w:val="22"/>
          <w:szCs w:val="22"/>
        </w:rPr>
      </w:pPr>
      <w:r>
        <w:rPr>
          <w:rFonts w:ascii="Gill Sans MT" w:hAnsi="Gill Sans MT"/>
          <w:b w:val="0"/>
          <w:sz w:val="22"/>
          <w:szCs w:val="22"/>
        </w:rPr>
        <w:t>Future p</w:t>
      </w:r>
      <w:r w:rsidR="00511251">
        <w:rPr>
          <w:rFonts w:ascii="Gill Sans MT" w:hAnsi="Gill Sans MT"/>
          <w:b w:val="0"/>
          <w:sz w:val="22"/>
          <w:szCs w:val="22"/>
        </w:rPr>
        <w:t>artner engagement process</w:t>
      </w:r>
      <w:r>
        <w:rPr>
          <w:rFonts w:ascii="Gill Sans MT" w:hAnsi="Gill Sans MT"/>
          <w:b w:val="0"/>
          <w:sz w:val="22"/>
          <w:szCs w:val="22"/>
        </w:rPr>
        <w:t xml:space="preserve"> </w:t>
      </w:r>
    </w:p>
    <w:p w:rsidR="003A519D" w:rsidRDefault="0044746A" w:rsidP="00E0582E">
      <w:pPr>
        <w:pStyle w:val="Heading4"/>
        <w:spacing w:before="240" w:beforeAutospacing="0" w:after="120" w:afterAutospacing="0" w:line="264" w:lineRule="auto"/>
        <w:jc w:val="both"/>
        <w:rPr>
          <w:rFonts w:ascii="Gill Sans MT" w:hAnsi="Gill Sans MT"/>
        </w:rPr>
      </w:pPr>
      <w:r>
        <w:rPr>
          <w:rFonts w:ascii="Gill Sans MT" w:hAnsi="Gill Sans MT"/>
        </w:rPr>
        <w:t>Administrative Information</w:t>
      </w:r>
    </w:p>
    <w:p w:rsidR="0044746A" w:rsidRPr="00A80ECE" w:rsidRDefault="0039648B" w:rsidP="00204593">
      <w:pPr>
        <w:pStyle w:val="Heading4"/>
        <w:spacing w:before="120" w:beforeAutospacing="0" w:after="120" w:afterAutospacing="0" w:line="264" w:lineRule="auto"/>
        <w:jc w:val="both"/>
        <w:rPr>
          <w:rStyle w:val="Hyperlink"/>
        </w:rPr>
      </w:pPr>
      <w:r>
        <w:rPr>
          <w:rFonts w:ascii="Gill Sans MT" w:hAnsi="Gill Sans MT"/>
          <w:noProof/>
          <w:lang w:val="en-US" w:eastAsia="en-US"/>
        </w:rPr>
        <mc:AlternateContent>
          <mc:Choice Requires="wps">
            <w:drawing>
              <wp:anchor distT="0" distB="0" distL="114300" distR="114300" simplePos="0" relativeHeight="251659264" behindDoc="0" locked="0" layoutInCell="1" allowOverlap="1" wp14:anchorId="66819D39" wp14:editId="15798E38">
                <wp:simplePos x="0" y="0"/>
                <wp:positionH relativeFrom="column">
                  <wp:posOffset>19050</wp:posOffset>
                </wp:positionH>
                <wp:positionV relativeFrom="paragraph">
                  <wp:posOffset>1662694</wp:posOffset>
                </wp:positionV>
                <wp:extent cx="3035935" cy="472694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35935" cy="4726940"/>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6B37" w:rsidRPr="001A7E76" w:rsidRDefault="00AA6B37" w:rsidP="00721ECE">
                            <w:pPr>
                              <w:spacing w:before="60" w:after="60" w:line="240" w:lineRule="auto"/>
                              <w:rPr>
                                <w:rFonts w:ascii="Candara" w:hAnsi="Candara"/>
                                <w:b/>
                                <w:sz w:val="21"/>
                                <w:szCs w:val="21"/>
                              </w:rPr>
                            </w:pPr>
                            <w:r w:rsidRPr="001A7E76">
                              <w:rPr>
                                <w:rFonts w:ascii="Candara" w:hAnsi="Candara"/>
                                <w:b/>
                                <w:sz w:val="21"/>
                                <w:szCs w:val="21"/>
                              </w:rPr>
                              <w:t>Africa Position on HFA-2</w:t>
                            </w:r>
                          </w:p>
                          <w:p w:rsidR="00CD765B" w:rsidRPr="001A7E76" w:rsidRDefault="00CD765B" w:rsidP="00721ECE">
                            <w:pPr>
                              <w:pStyle w:val="Heading4"/>
                              <w:spacing w:before="60" w:beforeAutospacing="0" w:after="60" w:afterAutospacing="0"/>
                              <w:jc w:val="both"/>
                              <w:rPr>
                                <w:rFonts w:ascii="Candara" w:hAnsi="Candara"/>
                                <w:b w:val="0"/>
                                <w:sz w:val="20"/>
                                <w:szCs w:val="20"/>
                              </w:rPr>
                            </w:pPr>
                            <w:r w:rsidRPr="001A7E76">
                              <w:rPr>
                                <w:rFonts w:ascii="Candara" w:hAnsi="Candara"/>
                                <w:b w:val="0"/>
                                <w:sz w:val="20"/>
                                <w:szCs w:val="20"/>
                              </w:rPr>
                              <w:t xml:space="preserve">Africa has been progressing well to develop its position on the post-2015 framework for DRR (HFA-2). The progress can be summarised as: </w:t>
                            </w:r>
                          </w:p>
                          <w:p w:rsidR="00CD765B" w:rsidRPr="001A7E76" w:rsidRDefault="00CD765B" w:rsidP="001A7E76">
                            <w:pPr>
                              <w:pStyle w:val="Heading4"/>
                              <w:numPr>
                                <w:ilvl w:val="0"/>
                                <w:numId w:val="8"/>
                              </w:numPr>
                              <w:spacing w:before="60" w:beforeAutospacing="0" w:after="60" w:afterAutospacing="0"/>
                              <w:ind w:left="270" w:hanging="180"/>
                              <w:jc w:val="both"/>
                              <w:rPr>
                                <w:rFonts w:ascii="Candara" w:hAnsi="Candara"/>
                                <w:b w:val="0"/>
                                <w:sz w:val="20"/>
                                <w:szCs w:val="20"/>
                              </w:rPr>
                            </w:pPr>
                            <w:r w:rsidRPr="001A7E76">
                              <w:rPr>
                                <w:rFonts w:ascii="Candara" w:hAnsi="Candara"/>
                                <w:b w:val="0"/>
                                <w:sz w:val="20"/>
                                <w:szCs w:val="20"/>
                              </w:rPr>
                              <w:t xml:space="preserve">At the Fourth Africa Regional Platform, </w:t>
                            </w:r>
                            <w:proofErr w:type="spellStart"/>
                            <w:r w:rsidRPr="001A7E76">
                              <w:rPr>
                                <w:rFonts w:ascii="Candara" w:hAnsi="Candara"/>
                                <w:b w:val="0"/>
                                <w:sz w:val="20"/>
                                <w:szCs w:val="20"/>
                              </w:rPr>
                              <w:t>Arusha</w:t>
                            </w:r>
                            <w:proofErr w:type="spellEnd"/>
                            <w:r w:rsidRPr="001A7E76">
                              <w:rPr>
                                <w:rFonts w:ascii="Candara" w:hAnsi="Candara"/>
                                <w:b w:val="0"/>
                                <w:sz w:val="20"/>
                                <w:szCs w:val="20"/>
                              </w:rPr>
                              <w:t>, Tanzania, February 2013, a round table was convened to elicit stakehold</w:t>
                            </w:r>
                            <w:r w:rsidR="001A7E76" w:rsidRPr="001A7E76">
                              <w:rPr>
                                <w:rFonts w:ascii="Candara" w:hAnsi="Candara"/>
                                <w:b w:val="0"/>
                                <w:sz w:val="20"/>
                                <w:szCs w:val="20"/>
                              </w:rPr>
                              <w:t>er feedbacks on HFA-2 (</w:t>
                            </w:r>
                            <w:hyperlink r:id="rId11" w:history="1">
                              <w:r w:rsidR="001A7E76" w:rsidRPr="001A7E76">
                                <w:rPr>
                                  <w:rStyle w:val="Hyperlink"/>
                                  <w:rFonts w:ascii="Candara" w:hAnsi="Candara"/>
                                  <w:b w:val="0"/>
                                  <w:sz w:val="20"/>
                                  <w:szCs w:val="20"/>
                                </w:rPr>
                                <w:t>www.unisdr.org/we/inform/events/30143</w:t>
                              </w:r>
                            </w:hyperlink>
                            <w:r w:rsidR="001A7E76" w:rsidRPr="001A7E76">
                              <w:rPr>
                                <w:rFonts w:ascii="Candara" w:hAnsi="Candara"/>
                                <w:b w:val="0"/>
                                <w:sz w:val="20"/>
                                <w:szCs w:val="20"/>
                              </w:rPr>
                              <w:t>)</w:t>
                            </w:r>
                          </w:p>
                          <w:p w:rsidR="00CD765B" w:rsidRPr="001A7E76" w:rsidRDefault="00CD765B" w:rsidP="001A7E76">
                            <w:pPr>
                              <w:pStyle w:val="Heading4"/>
                              <w:numPr>
                                <w:ilvl w:val="0"/>
                                <w:numId w:val="8"/>
                              </w:numPr>
                              <w:spacing w:before="60" w:beforeAutospacing="0" w:after="60" w:afterAutospacing="0"/>
                              <w:ind w:left="270" w:hanging="180"/>
                              <w:jc w:val="both"/>
                              <w:rPr>
                                <w:rFonts w:ascii="Candara" w:hAnsi="Candara"/>
                                <w:b w:val="0"/>
                                <w:sz w:val="20"/>
                                <w:szCs w:val="20"/>
                              </w:rPr>
                            </w:pPr>
                            <w:r w:rsidRPr="001A7E76">
                              <w:rPr>
                                <w:rFonts w:ascii="Candara" w:hAnsi="Candara"/>
                                <w:b w:val="0"/>
                                <w:sz w:val="20"/>
                                <w:szCs w:val="20"/>
                              </w:rPr>
                              <w:t xml:space="preserve">The continental position developed at the regional platform was presented by the African Union at the Fourth Global Platform for DRR, Geneva, Switzerland, </w:t>
                            </w:r>
                            <w:proofErr w:type="gramStart"/>
                            <w:r w:rsidRPr="001A7E76">
                              <w:rPr>
                                <w:rFonts w:ascii="Candara" w:hAnsi="Candara"/>
                                <w:b w:val="0"/>
                                <w:sz w:val="20"/>
                                <w:szCs w:val="20"/>
                              </w:rPr>
                              <w:t>May</w:t>
                            </w:r>
                            <w:proofErr w:type="gramEnd"/>
                            <w:r w:rsidRPr="001A7E76">
                              <w:rPr>
                                <w:rFonts w:ascii="Candara" w:hAnsi="Candara"/>
                                <w:b w:val="0"/>
                                <w:sz w:val="20"/>
                                <w:szCs w:val="20"/>
                              </w:rPr>
                              <w:t xml:space="preserve"> 2013. The position was refined at a consultation with African delegates preceding the platform </w:t>
                            </w:r>
                            <w:r w:rsidR="001A7E76" w:rsidRPr="001A7E76">
                              <w:rPr>
                                <w:rFonts w:ascii="Candara" w:hAnsi="Candara"/>
                                <w:b w:val="0"/>
                                <w:sz w:val="20"/>
                                <w:szCs w:val="20"/>
                              </w:rPr>
                              <w:t xml:space="preserve">and included a section on HFA-2 </w:t>
                            </w:r>
                            <w:hyperlink r:id="rId12" w:history="1">
                              <w:r w:rsidR="001A7E76" w:rsidRPr="001A7E76">
                                <w:rPr>
                                  <w:rFonts w:ascii="Candara" w:hAnsi="Candara"/>
                                  <w:b w:val="0"/>
                                  <w:sz w:val="20"/>
                                  <w:szCs w:val="20"/>
                                </w:rPr>
                                <w:t>(</w:t>
                              </w:r>
                              <w:r w:rsidR="001A7E76" w:rsidRPr="001A7E76">
                                <w:rPr>
                                  <w:rStyle w:val="Hyperlink"/>
                                  <w:rFonts w:ascii="Candara" w:hAnsi="Candara"/>
                                  <w:b w:val="0"/>
                                  <w:sz w:val="20"/>
                                  <w:szCs w:val="20"/>
                                </w:rPr>
                                <w:t>www.preventionweb.net/globalplatform/2013/programme/consultation/view/463</w:t>
                              </w:r>
                            </w:hyperlink>
                            <w:r w:rsidR="001A7E76" w:rsidRPr="001A7E76">
                              <w:rPr>
                                <w:rFonts w:ascii="Candara" w:hAnsi="Candara"/>
                                <w:b w:val="0"/>
                                <w:sz w:val="20"/>
                                <w:szCs w:val="20"/>
                              </w:rPr>
                              <w:t xml:space="preserve">) </w:t>
                            </w:r>
                          </w:p>
                          <w:p w:rsidR="00CD765B" w:rsidRPr="001A7E76" w:rsidRDefault="00CD765B" w:rsidP="001A7E76">
                            <w:pPr>
                              <w:pStyle w:val="Heading4"/>
                              <w:numPr>
                                <w:ilvl w:val="0"/>
                                <w:numId w:val="8"/>
                              </w:numPr>
                              <w:spacing w:before="60" w:beforeAutospacing="0" w:after="60" w:afterAutospacing="0"/>
                              <w:ind w:left="270" w:hanging="180"/>
                              <w:jc w:val="both"/>
                              <w:rPr>
                                <w:rFonts w:ascii="Candara" w:hAnsi="Candara"/>
                                <w:b w:val="0"/>
                                <w:sz w:val="20"/>
                                <w:szCs w:val="20"/>
                              </w:rPr>
                            </w:pPr>
                            <w:r w:rsidRPr="001A7E76">
                              <w:rPr>
                                <w:rFonts w:ascii="Candara" w:hAnsi="Candara"/>
                                <w:b w:val="0"/>
                                <w:sz w:val="20"/>
                                <w:szCs w:val="20"/>
                              </w:rPr>
                              <w:t>HFA-2 consultations were held at sub-regional, national and local levels with participation from all stakeholders</w:t>
                            </w:r>
                            <w:r w:rsidR="001A7E76" w:rsidRPr="001A7E76">
                              <w:rPr>
                                <w:rFonts w:ascii="Candara" w:hAnsi="Candara"/>
                                <w:b w:val="0"/>
                                <w:sz w:val="20"/>
                                <w:szCs w:val="20"/>
                              </w:rPr>
                              <w:t xml:space="preserve"> (</w:t>
                            </w:r>
                            <w:hyperlink r:id="rId13" w:history="1">
                              <w:r w:rsidR="0039648B" w:rsidRPr="00512CB1">
                                <w:rPr>
                                  <w:rStyle w:val="Hyperlink"/>
                                  <w:rFonts w:ascii="Candara" w:hAnsi="Candara"/>
                                  <w:b w:val="0"/>
                                  <w:sz w:val="20"/>
                                  <w:szCs w:val="20"/>
                                </w:rPr>
                                <w:t>www.preventionweb.net/posthfa/consultation-process</w:t>
                              </w:r>
                            </w:hyperlink>
                            <w:r w:rsidR="001A7E76" w:rsidRPr="001A7E76">
                              <w:rPr>
                                <w:rFonts w:ascii="Candara" w:hAnsi="Candara"/>
                                <w:b w:val="0"/>
                                <w:sz w:val="20"/>
                                <w:szCs w:val="20"/>
                              </w:rPr>
                              <w:t>)</w:t>
                            </w:r>
                            <w:r w:rsidRPr="001A7E76">
                              <w:rPr>
                                <w:rFonts w:ascii="Candara" w:hAnsi="Candara"/>
                                <w:b w:val="0"/>
                                <w:sz w:val="20"/>
                                <w:szCs w:val="20"/>
                              </w:rPr>
                              <w:t xml:space="preserve">. </w:t>
                            </w:r>
                            <w:r w:rsidR="00721ECE" w:rsidRPr="001A7E76">
                              <w:rPr>
                                <w:rFonts w:ascii="Candara" w:hAnsi="Candara"/>
                                <w:b w:val="0"/>
                                <w:sz w:val="20"/>
                                <w:szCs w:val="20"/>
                              </w:rPr>
                              <w:t>Africa is represented at the Joint Advisory Group chaired by the SRSG for the development of HFA-2.</w:t>
                            </w:r>
                          </w:p>
                          <w:p w:rsidR="00CD765B" w:rsidRPr="001A7E76" w:rsidRDefault="00CD765B" w:rsidP="001A7E76">
                            <w:pPr>
                              <w:pStyle w:val="Heading4"/>
                              <w:numPr>
                                <w:ilvl w:val="0"/>
                                <w:numId w:val="8"/>
                              </w:numPr>
                              <w:spacing w:before="60" w:beforeAutospacing="0" w:after="60" w:afterAutospacing="0"/>
                              <w:ind w:left="270" w:hanging="180"/>
                              <w:jc w:val="both"/>
                              <w:rPr>
                                <w:rFonts w:ascii="Candara" w:hAnsi="Candara"/>
                                <w:b w:val="0"/>
                                <w:sz w:val="20"/>
                                <w:szCs w:val="20"/>
                              </w:rPr>
                            </w:pPr>
                            <w:r w:rsidRPr="001A7E76">
                              <w:rPr>
                                <w:rFonts w:ascii="Candara" w:hAnsi="Candara"/>
                                <w:b w:val="0"/>
                                <w:sz w:val="20"/>
                                <w:szCs w:val="20"/>
                              </w:rPr>
                              <w:t xml:space="preserve">An HFA-2 Consultative Meeting was held in Nairobi, Kenya, November 2013, to review the consolidated outcomes and develop a draft Africa </w:t>
                            </w:r>
                            <w:r w:rsidRPr="001A7E76">
                              <w:rPr>
                                <w:rFonts w:ascii="Candara" w:hAnsi="Candara"/>
                                <w:b w:val="0"/>
                                <w:sz w:val="20"/>
                                <w:szCs w:val="20"/>
                                <w:shd w:val="clear" w:color="auto" w:fill="DDD9C3" w:themeFill="background2" w:themeFillShade="E6"/>
                              </w:rPr>
                              <w:t>Position on HFA-2 in the form of a Summary Statement</w:t>
                            </w:r>
                            <w:r w:rsidR="00721ECE" w:rsidRPr="001A7E76">
                              <w:rPr>
                                <w:rFonts w:ascii="Candara" w:hAnsi="Candara"/>
                                <w:b w:val="0"/>
                                <w:sz w:val="20"/>
                                <w:szCs w:val="20"/>
                                <w:shd w:val="clear" w:color="auto" w:fill="DDD9C3" w:themeFill="background2" w:themeFillShade="E6"/>
                              </w:rPr>
                              <w:t xml:space="preserve"> (please   see </w:t>
                            </w:r>
                            <w:hyperlink r:id="rId14" w:history="1">
                              <w:r w:rsidR="00721ECE" w:rsidRPr="001A7E76">
                                <w:rPr>
                                  <w:rStyle w:val="Hyperlink"/>
                                  <w:rFonts w:ascii="Candara" w:hAnsi="Candara"/>
                                  <w:b w:val="0"/>
                                  <w:sz w:val="20"/>
                                  <w:szCs w:val="20"/>
                                  <w:shd w:val="clear" w:color="auto" w:fill="DDD9C3" w:themeFill="background2" w:themeFillShade="E6"/>
                                </w:rPr>
                                <w:t>http://preventionweb.net/go/35675</w:t>
                              </w:r>
                            </w:hyperlink>
                            <w:r w:rsidRPr="001A7E76">
                              <w:rPr>
                                <w:rFonts w:ascii="Candara" w:hAnsi="Candara"/>
                                <w:b w:val="0"/>
                                <w:sz w:val="20"/>
                                <w:szCs w:val="20"/>
                                <w:shd w:val="clear" w:color="auto" w:fill="DDD9C3" w:themeFill="background2" w:themeFillShade="E6"/>
                              </w:rPr>
                              <w:t>.</w:t>
                            </w:r>
                            <w:r w:rsidRPr="001A7E76">
                              <w:rPr>
                                <w:rFonts w:ascii="Candara" w:hAnsi="Candara"/>
                                <w:b w:val="0"/>
                                <w:sz w:val="20"/>
                                <w:szCs w:val="20"/>
                              </w:rPr>
                              <w:t xml:space="preserve"> </w:t>
                            </w:r>
                          </w:p>
                          <w:p w:rsidR="00AA6B37" w:rsidRPr="001A7E76" w:rsidRDefault="00AA6B37" w:rsidP="00721ECE">
                            <w:pPr>
                              <w:spacing w:before="60" w:after="60" w:line="240" w:lineRule="auto"/>
                              <w:rPr>
                                <w:rFonts w:ascii="Candara" w:hAnsi="Candara"/>
                                <w:b/>
                                <w:sz w:val="20"/>
                                <w:szCs w:val="20"/>
                                <w:lang w:val="en-GB"/>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5pt;margin-top:130.9pt;width:239.05pt;height:37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" fillcolor="#eeece1 [3214]" stroked="f" strokeweight=".5pt">
                <v:textbox inset="3.6pt,,3.6pt">
                  <w:txbxContent>
                    <w:p w:rsidR="00AA6B37" w:rsidRPr="001A7E76" w:rsidRDefault="00AA6B37" w:rsidP="00721ECE">
                      <w:pPr>
                        <w:spacing w:before="60" w:after="60" w:line="240" w:lineRule="auto"/>
                        <w:rPr>
                          <w:rFonts w:ascii="Candara" w:hAnsi="Candara"/>
                          <w:b/>
                          <w:sz w:val="21"/>
                          <w:szCs w:val="21"/>
                        </w:rPr>
                      </w:pPr>
                      <w:r w:rsidRPr="001A7E76">
                        <w:rPr>
                          <w:rFonts w:ascii="Candara" w:hAnsi="Candara"/>
                          <w:b/>
                          <w:sz w:val="21"/>
                          <w:szCs w:val="21"/>
                        </w:rPr>
                        <w:t>Africa Position on HFA-2</w:t>
                      </w:r>
                    </w:p>
                    <w:p w:rsidR="00CD765B" w:rsidRPr="001A7E76" w:rsidRDefault="00CD765B" w:rsidP="00721ECE">
                      <w:pPr>
                        <w:pStyle w:val="Heading4"/>
                        <w:spacing w:before="60" w:beforeAutospacing="0" w:after="60" w:afterAutospacing="0"/>
                        <w:jc w:val="both"/>
                        <w:rPr>
                          <w:rFonts w:ascii="Candara" w:hAnsi="Candara"/>
                          <w:b w:val="0"/>
                          <w:sz w:val="20"/>
                          <w:szCs w:val="20"/>
                        </w:rPr>
                      </w:pPr>
                      <w:r w:rsidRPr="001A7E76">
                        <w:rPr>
                          <w:rFonts w:ascii="Candara" w:hAnsi="Candara"/>
                          <w:b w:val="0"/>
                          <w:sz w:val="20"/>
                          <w:szCs w:val="20"/>
                        </w:rPr>
                        <w:t xml:space="preserve">Africa has been progressing well to develop its position on the post-2015 framework for DRR (HFA-2). The progress can be summarised as: </w:t>
                      </w:r>
                    </w:p>
                    <w:p w:rsidR="00CD765B" w:rsidRPr="001A7E76" w:rsidRDefault="00CD765B" w:rsidP="001A7E76">
                      <w:pPr>
                        <w:pStyle w:val="Heading4"/>
                        <w:numPr>
                          <w:ilvl w:val="0"/>
                          <w:numId w:val="8"/>
                        </w:numPr>
                        <w:spacing w:before="60" w:beforeAutospacing="0" w:after="60" w:afterAutospacing="0"/>
                        <w:ind w:left="270" w:hanging="180"/>
                        <w:jc w:val="both"/>
                        <w:rPr>
                          <w:rFonts w:ascii="Candara" w:hAnsi="Candara"/>
                          <w:b w:val="0"/>
                          <w:sz w:val="20"/>
                          <w:szCs w:val="20"/>
                        </w:rPr>
                      </w:pPr>
                      <w:r w:rsidRPr="001A7E76">
                        <w:rPr>
                          <w:rFonts w:ascii="Candara" w:hAnsi="Candara"/>
                          <w:b w:val="0"/>
                          <w:sz w:val="20"/>
                          <w:szCs w:val="20"/>
                        </w:rPr>
                        <w:t xml:space="preserve">At the Fourth Africa Regional Platform, </w:t>
                      </w:r>
                      <w:proofErr w:type="spellStart"/>
                      <w:r w:rsidRPr="001A7E76">
                        <w:rPr>
                          <w:rFonts w:ascii="Candara" w:hAnsi="Candara"/>
                          <w:b w:val="0"/>
                          <w:sz w:val="20"/>
                          <w:szCs w:val="20"/>
                        </w:rPr>
                        <w:t>Arusha</w:t>
                      </w:r>
                      <w:proofErr w:type="spellEnd"/>
                      <w:r w:rsidRPr="001A7E76">
                        <w:rPr>
                          <w:rFonts w:ascii="Candara" w:hAnsi="Candara"/>
                          <w:b w:val="0"/>
                          <w:sz w:val="20"/>
                          <w:szCs w:val="20"/>
                        </w:rPr>
                        <w:t>, Tanzania, February 2013, a round table was convened to elicit stakehold</w:t>
                      </w:r>
                      <w:r w:rsidR="001A7E76" w:rsidRPr="001A7E76">
                        <w:rPr>
                          <w:rFonts w:ascii="Candara" w:hAnsi="Candara"/>
                          <w:b w:val="0"/>
                          <w:sz w:val="20"/>
                          <w:szCs w:val="20"/>
                        </w:rPr>
                        <w:t>er feedbacks on HFA-2 (</w:t>
                      </w:r>
                      <w:hyperlink r:id="rId15" w:history="1">
                        <w:r w:rsidR="001A7E76" w:rsidRPr="001A7E76">
                          <w:rPr>
                            <w:rStyle w:val="Hyperlink"/>
                            <w:rFonts w:ascii="Candara" w:hAnsi="Candara"/>
                            <w:b w:val="0"/>
                            <w:sz w:val="20"/>
                            <w:szCs w:val="20"/>
                          </w:rPr>
                          <w:t>www.unisdr.org/we/inform/events/30143</w:t>
                        </w:r>
                      </w:hyperlink>
                      <w:r w:rsidR="001A7E76" w:rsidRPr="001A7E76">
                        <w:rPr>
                          <w:rFonts w:ascii="Candara" w:hAnsi="Candara"/>
                          <w:b w:val="0"/>
                          <w:sz w:val="20"/>
                          <w:szCs w:val="20"/>
                        </w:rPr>
                        <w:t>)</w:t>
                      </w:r>
                    </w:p>
                    <w:p w:rsidR="00CD765B" w:rsidRPr="001A7E76" w:rsidRDefault="00CD765B" w:rsidP="001A7E76">
                      <w:pPr>
                        <w:pStyle w:val="Heading4"/>
                        <w:numPr>
                          <w:ilvl w:val="0"/>
                          <w:numId w:val="8"/>
                        </w:numPr>
                        <w:spacing w:before="60" w:beforeAutospacing="0" w:after="60" w:afterAutospacing="0"/>
                        <w:ind w:left="270" w:hanging="180"/>
                        <w:jc w:val="both"/>
                        <w:rPr>
                          <w:rFonts w:ascii="Candara" w:hAnsi="Candara"/>
                          <w:b w:val="0"/>
                          <w:sz w:val="20"/>
                          <w:szCs w:val="20"/>
                        </w:rPr>
                      </w:pPr>
                      <w:r w:rsidRPr="001A7E76">
                        <w:rPr>
                          <w:rFonts w:ascii="Candara" w:hAnsi="Candara"/>
                          <w:b w:val="0"/>
                          <w:sz w:val="20"/>
                          <w:szCs w:val="20"/>
                        </w:rPr>
                        <w:t xml:space="preserve">The continental position developed at the regional platform was presented by the African Union at the Fourth Global Platform for DRR, Geneva, Switzerland, </w:t>
                      </w:r>
                      <w:proofErr w:type="gramStart"/>
                      <w:r w:rsidRPr="001A7E76">
                        <w:rPr>
                          <w:rFonts w:ascii="Candara" w:hAnsi="Candara"/>
                          <w:b w:val="0"/>
                          <w:sz w:val="20"/>
                          <w:szCs w:val="20"/>
                        </w:rPr>
                        <w:t>May</w:t>
                      </w:r>
                      <w:proofErr w:type="gramEnd"/>
                      <w:r w:rsidRPr="001A7E76">
                        <w:rPr>
                          <w:rFonts w:ascii="Candara" w:hAnsi="Candara"/>
                          <w:b w:val="0"/>
                          <w:sz w:val="20"/>
                          <w:szCs w:val="20"/>
                        </w:rPr>
                        <w:t xml:space="preserve"> 2013. The position was refined at a consultation with African delegates preceding the platform </w:t>
                      </w:r>
                      <w:r w:rsidR="001A7E76" w:rsidRPr="001A7E76">
                        <w:rPr>
                          <w:rFonts w:ascii="Candara" w:hAnsi="Candara"/>
                          <w:b w:val="0"/>
                          <w:sz w:val="20"/>
                          <w:szCs w:val="20"/>
                        </w:rPr>
                        <w:t xml:space="preserve">and included a section on HFA-2 </w:t>
                      </w:r>
                      <w:hyperlink r:id="rId16" w:history="1">
                        <w:r w:rsidR="001A7E76" w:rsidRPr="001A7E76">
                          <w:rPr>
                            <w:rFonts w:ascii="Candara" w:hAnsi="Candara"/>
                            <w:b w:val="0"/>
                            <w:sz w:val="20"/>
                            <w:szCs w:val="20"/>
                          </w:rPr>
                          <w:t>(</w:t>
                        </w:r>
                        <w:r w:rsidR="001A7E76" w:rsidRPr="001A7E76">
                          <w:rPr>
                            <w:rStyle w:val="Hyperlink"/>
                            <w:rFonts w:ascii="Candara" w:hAnsi="Candara"/>
                            <w:b w:val="0"/>
                            <w:sz w:val="20"/>
                            <w:szCs w:val="20"/>
                          </w:rPr>
                          <w:t>www.preventionweb.net/globalplatform/2013/programme/consultation/view/463</w:t>
                        </w:r>
                      </w:hyperlink>
                      <w:r w:rsidR="001A7E76" w:rsidRPr="001A7E76">
                        <w:rPr>
                          <w:rFonts w:ascii="Candara" w:hAnsi="Candara"/>
                          <w:b w:val="0"/>
                          <w:sz w:val="20"/>
                          <w:szCs w:val="20"/>
                        </w:rPr>
                        <w:t xml:space="preserve">) </w:t>
                      </w:r>
                    </w:p>
                    <w:p w:rsidR="00CD765B" w:rsidRPr="001A7E76" w:rsidRDefault="00CD765B" w:rsidP="001A7E76">
                      <w:pPr>
                        <w:pStyle w:val="Heading4"/>
                        <w:numPr>
                          <w:ilvl w:val="0"/>
                          <w:numId w:val="8"/>
                        </w:numPr>
                        <w:spacing w:before="60" w:beforeAutospacing="0" w:after="60" w:afterAutospacing="0"/>
                        <w:ind w:left="270" w:hanging="180"/>
                        <w:jc w:val="both"/>
                        <w:rPr>
                          <w:rFonts w:ascii="Candara" w:hAnsi="Candara"/>
                          <w:b w:val="0"/>
                          <w:sz w:val="20"/>
                          <w:szCs w:val="20"/>
                        </w:rPr>
                      </w:pPr>
                      <w:r w:rsidRPr="001A7E76">
                        <w:rPr>
                          <w:rFonts w:ascii="Candara" w:hAnsi="Candara"/>
                          <w:b w:val="0"/>
                          <w:sz w:val="20"/>
                          <w:szCs w:val="20"/>
                        </w:rPr>
                        <w:t>HFA-2 consultations were held at sub-regional, national and local levels with participation from all stakeholders</w:t>
                      </w:r>
                      <w:r w:rsidR="001A7E76" w:rsidRPr="001A7E76">
                        <w:rPr>
                          <w:rFonts w:ascii="Candara" w:hAnsi="Candara"/>
                          <w:b w:val="0"/>
                          <w:sz w:val="20"/>
                          <w:szCs w:val="20"/>
                        </w:rPr>
                        <w:t xml:space="preserve"> (</w:t>
                      </w:r>
                      <w:hyperlink r:id="rId17" w:history="1">
                        <w:r w:rsidR="0039648B" w:rsidRPr="00512CB1">
                          <w:rPr>
                            <w:rStyle w:val="Hyperlink"/>
                            <w:rFonts w:ascii="Candara" w:hAnsi="Candara"/>
                            <w:b w:val="0"/>
                            <w:sz w:val="20"/>
                            <w:szCs w:val="20"/>
                          </w:rPr>
                          <w:t>www.preventionweb.net/posthfa/consultation-process</w:t>
                        </w:r>
                      </w:hyperlink>
                      <w:r w:rsidR="001A7E76" w:rsidRPr="001A7E76">
                        <w:rPr>
                          <w:rFonts w:ascii="Candara" w:hAnsi="Candara"/>
                          <w:b w:val="0"/>
                          <w:sz w:val="20"/>
                          <w:szCs w:val="20"/>
                        </w:rPr>
                        <w:t>)</w:t>
                      </w:r>
                      <w:r w:rsidRPr="001A7E76">
                        <w:rPr>
                          <w:rFonts w:ascii="Candara" w:hAnsi="Candara"/>
                          <w:b w:val="0"/>
                          <w:sz w:val="20"/>
                          <w:szCs w:val="20"/>
                        </w:rPr>
                        <w:t xml:space="preserve">. </w:t>
                      </w:r>
                      <w:r w:rsidR="00721ECE" w:rsidRPr="001A7E76">
                        <w:rPr>
                          <w:rFonts w:ascii="Candara" w:hAnsi="Candara"/>
                          <w:b w:val="0"/>
                          <w:sz w:val="20"/>
                          <w:szCs w:val="20"/>
                        </w:rPr>
                        <w:t>Africa is represented at the Joint Advisory Group chaired by the SRSG for the development of HFA-2.</w:t>
                      </w:r>
                    </w:p>
                    <w:p w:rsidR="00CD765B" w:rsidRPr="001A7E76" w:rsidRDefault="00CD765B" w:rsidP="001A7E76">
                      <w:pPr>
                        <w:pStyle w:val="Heading4"/>
                        <w:numPr>
                          <w:ilvl w:val="0"/>
                          <w:numId w:val="8"/>
                        </w:numPr>
                        <w:spacing w:before="60" w:beforeAutospacing="0" w:after="60" w:afterAutospacing="0"/>
                        <w:ind w:left="270" w:hanging="180"/>
                        <w:jc w:val="both"/>
                        <w:rPr>
                          <w:rFonts w:ascii="Candara" w:hAnsi="Candara"/>
                          <w:b w:val="0"/>
                          <w:sz w:val="20"/>
                          <w:szCs w:val="20"/>
                        </w:rPr>
                      </w:pPr>
                      <w:r w:rsidRPr="001A7E76">
                        <w:rPr>
                          <w:rFonts w:ascii="Candara" w:hAnsi="Candara"/>
                          <w:b w:val="0"/>
                          <w:sz w:val="20"/>
                          <w:szCs w:val="20"/>
                        </w:rPr>
                        <w:t xml:space="preserve">An HFA-2 Consultative Meeting was held in Nairobi, Kenya, November 2013, to review the consolidated outcomes and develop a draft Africa </w:t>
                      </w:r>
                      <w:r w:rsidRPr="001A7E76">
                        <w:rPr>
                          <w:rFonts w:ascii="Candara" w:hAnsi="Candara"/>
                          <w:b w:val="0"/>
                          <w:sz w:val="20"/>
                          <w:szCs w:val="20"/>
                          <w:shd w:val="clear" w:color="auto" w:fill="DDD9C3" w:themeFill="background2" w:themeFillShade="E6"/>
                        </w:rPr>
                        <w:t>Position on HFA-2 in the form of a Summary Statement</w:t>
                      </w:r>
                      <w:r w:rsidR="00721ECE" w:rsidRPr="001A7E76">
                        <w:rPr>
                          <w:rFonts w:ascii="Candara" w:hAnsi="Candara"/>
                          <w:b w:val="0"/>
                          <w:sz w:val="20"/>
                          <w:szCs w:val="20"/>
                          <w:shd w:val="clear" w:color="auto" w:fill="DDD9C3" w:themeFill="background2" w:themeFillShade="E6"/>
                        </w:rPr>
                        <w:t xml:space="preserve"> (please   see </w:t>
                      </w:r>
                      <w:hyperlink r:id="rId18" w:history="1">
                        <w:r w:rsidR="00721ECE" w:rsidRPr="001A7E76">
                          <w:rPr>
                            <w:rStyle w:val="Hyperlink"/>
                            <w:rFonts w:ascii="Candara" w:hAnsi="Candara"/>
                            <w:b w:val="0"/>
                            <w:sz w:val="20"/>
                            <w:szCs w:val="20"/>
                            <w:shd w:val="clear" w:color="auto" w:fill="DDD9C3" w:themeFill="background2" w:themeFillShade="E6"/>
                          </w:rPr>
                          <w:t>http://preventionweb.net/go/35675</w:t>
                        </w:r>
                      </w:hyperlink>
                      <w:r w:rsidRPr="001A7E76">
                        <w:rPr>
                          <w:rFonts w:ascii="Candara" w:hAnsi="Candara"/>
                          <w:b w:val="0"/>
                          <w:sz w:val="20"/>
                          <w:szCs w:val="20"/>
                          <w:shd w:val="clear" w:color="auto" w:fill="DDD9C3" w:themeFill="background2" w:themeFillShade="E6"/>
                        </w:rPr>
                        <w:t>.</w:t>
                      </w:r>
                      <w:r w:rsidRPr="001A7E76">
                        <w:rPr>
                          <w:rFonts w:ascii="Candara" w:hAnsi="Candara"/>
                          <w:b w:val="0"/>
                          <w:sz w:val="20"/>
                          <w:szCs w:val="20"/>
                        </w:rPr>
                        <w:t xml:space="preserve"> </w:t>
                      </w:r>
                    </w:p>
                    <w:p w:rsidR="00AA6B37" w:rsidRPr="001A7E76" w:rsidRDefault="00AA6B37" w:rsidP="00721ECE">
                      <w:pPr>
                        <w:spacing w:before="60" w:after="60" w:line="240" w:lineRule="auto"/>
                        <w:rPr>
                          <w:rFonts w:ascii="Candara" w:hAnsi="Candara"/>
                          <w:b/>
                          <w:sz w:val="20"/>
                          <w:szCs w:val="20"/>
                          <w:lang w:val="en-GB"/>
                        </w:rPr>
                      </w:pPr>
                    </w:p>
                  </w:txbxContent>
                </v:textbox>
              </v:shape>
            </w:pict>
          </mc:Fallback>
        </mc:AlternateContent>
      </w:r>
      <w:r w:rsidR="0044746A" w:rsidRPr="0044746A">
        <w:rPr>
          <w:rFonts w:ascii="Gill Sans MT" w:hAnsi="Gill Sans MT"/>
          <w:b w:val="0"/>
          <w:sz w:val="22"/>
          <w:szCs w:val="22"/>
        </w:rPr>
        <w:t>The meeting will be hosted by the ECOWAS Commission</w:t>
      </w:r>
      <w:r w:rsidR="00B55459">
        <w:rPr>
          <w:rFonts w:ascii="Gill Sans MT" w:hAnsi="Gill Sans MT"/>
          <w:b w:val="0"/>
          <w:sz w:val="22"/>
          <w:szCs w:val="22"/>
        </w:rPr>
        <w:t xml:space="preserve"> (</w:t>
      </w:r>
      <w:hyperlink r:id="rId19" w:history="1">
        <w:r w:rsidR="00E0582E" w:rsidRPr="000D7998">
          <w:rPr>
            <w:rStyle w:val="Hyperlink"/>
            <w:rFonts w:ascii="Gill Sans MT" w:hAnsi="Gill Sans MT"/>
            <w:b w:val="0"/>
            <w:sz w:val="22"/>
            <w:szCs w:val="22"/>
          </w:rPr>
          <w:t>www.ecowas.int</w:t>
        </w:r>
      </w:hyperlink>
      <w:r w:rsidR="00B55459">
        <w:rPr>
          <w:rFonts w:ascii="Gill Sans MT" w:hAnsi="Gill Sans MT"/>
          <w:b w:val="0"/>
          <w:sz w:val="22"/>
          <w:szCs w:val="22"/>
        </w:rPr>
        <w:t xml:space="preserve">). </w:t>
      </w:r>
      <w:r w:rsidR="00803BD6">
        <w:rPr>
          <w:rFonts w:ascii="Gill Sans MT" w:hAnsi="Gill Sans MT"/>
          <w:b w:val="0"/>
          <w:sz w:val="22"/>
          <w:szCs w:val="22"/>
        </w:rPr>
        <w:t xml:space="preserve">The invitation letters are being issued by African Union Commission (Chair) and UNISDR (Secretariat). </w:t>
      </w:r>
      <w:r w:rsidR="00A80ECE">
        <w:rPr>
          <w:rFonts w:ascii="Gill Sans MT" w:hAnsi="Gill Sans MT"/>
          <w:b w:val="0"/>
          <w:sz w:val="22"/>
          <w:szCs w:val="22"/>
        </w:rPr>
        <w:t xml:space="preserve">For any information, please contact: </w:t>
      </w:r>
      <w:hyperlink r:id="rId20" w:history="1">
        <w:r w:rsidR="00A80ECE" w:rsidRPr="000D7998">
          <w:rPr>
            <w:rStyle w:val="Hyperlink"/>
            <w:rFonts w:ascii="Gill Sans MT" w:hAnsi="Gill Sans MT"/>
            <w:b w:val="0"/>
            <w:sz w:val="22"/>
            <w:szCs w:val="22"/>
          </w:rPr>
          <w:t>Animesh.Kumar@unisdr.unon.org</w:t>
        </w:r>
      </w:hyperlink>
      <w:r w:rsidR="00A80ECE">
        <w:rPr>
          <w:rFonts w:ascii="Gill Sans MT" w:hAnsi="Gill Sans MT"/>
          <w:b w:val="0"/>
          <w:sz w:val="22"/>
          <w:szCs w:val="22"/>
        </w:rPr>
        <w:t xml:space="preserve"> and </w:t>
      </w:r>
      <w:hyperlink r:id="rId21" w:history="1">
        <w:r w:rsidR="00A80ECE" w:rsidRPr="00A80ECE">
          <w:rPr>
            <w:rStyle w:val="Hyperlink"/>
            <w:rFonts w:ascii="Gill Sans MT" w:hAnsi="Gill Sans MT"/>
            <w:b w:val="0"/>
            <w:sz w:val="22"/>
            <w:szCs w:val="22"/>
          </w:rPr>
          <w:t>WanambwaL@africa-union.org</w:t>
        </w:r>
      </w:hyperlink>
      <w:r w:rsidR="00A80ECE" w:rsidRPr="00A80ECE">
        <w:rPr>
          <w:rStyle w:val="Hyperlink"/>
          <w:rFonts w:ascii="Gill Sans MT" w:hAnsi="Gill Sans MT"/>
          <w:b w:val="0"/>
          <w:color w:val="auto"/>
          <w:sz w:val="22"/>
          <w:szCs w:val="22"/>
          <w:u w:val="none"/>
        </w:rPr>
        <w:t>.</w:t>
      </w:r>
      <w:r w:rsidR="002B0085">
        <w:rPr>
          <w:rStyle w:val="Hyperlink"/>
          <w:rFonts w:ascii="Gill Sans MT" w:hAnsi="Gill Sans MT"/>
          <w:b w:val="0"/>
          <w:color w:val="auto"/>
          <w:sz w:val="22"/>
          <w:szCs w:val="22"/>
          <w:u w:val="none"/>
        </w:rPr>
        <w:t xml:space="preserve"> A detailed administrative note will be shared with confirmed participants. </w:t>
      </w:r>
    </w:p>
    <w:p w:rsidR="00D2638B" w:rsidRDefault="00D2638B" w:rsidP="00204593">
      <w:pPr>
        <w:pStyle w:val="Heading4"/>
        <w:spacing w:before="120" w:beforeAutospacing="0" w:after="120" w:afterAutospacing="0" w:line="264" w:lineRule="auto"/>
        <w:jc w:val="both"/>
        <w:rPr>
          <w:rFonts w:ascii="Gill Sans MT" w:hAnsi="Gill Sans MT"/>
        </w:rPr>
      </w:pPr>
    </w:p>
    <w:p w:rsidR="002C330E" w:rsidRPr="0036321B" w:rsidRDefault="002C330E" w:rsidP="00204593">
      <w:pPr>
        <w:pStyle w:val="Heading4"/>
        <w:spacing w:before="120" w:beforeAutospacing="0" w:after="120" w:afterAutospacing="0" w:line="264" w:lineRule="auto"/>
        <w:jc w:val="both"/>
        <w:rPr>
          <w:rFonts w:ascii="Gill Sans MT" w:hAnsi="Gill Sans MT"/>
        </w:rPr>
      </w:pPr>
    </w:p>
    <w:p w:rsidR="0036321B" w:rsidRPr="0036321B" w:rsidRDefault="0036321B" w:rsidP="00204593">
      <w:pPr>
        <w:pStyle w:val="Heading4"/>
        <w:spacing w:before="120" w:beforeAutospacing="0" w:after="120" w:afterAutospacing="0" w:line="264" w:lineRule="auto"/>
        <w:jc w:val="both"/>
        <w:rPr>
          <w:rFonts w:ascii="Gill Sans MT" w:hAnsi="Gill Sans MT"/>
        </w:rPr>
      </w:pPr>
    </w:p>
    <w:sectPr w:rsidR="0036321B" w:rsidRPr="0036321B" w:rsidSect="00F106EA">
      <w:type w:val="continuous"/>
      <w:pgSz w:w="12240" w:h="15840"/>
      <w:pgMar w:top="1710" w:right="1296" w:bottom="1296" w:left="1296"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991" w:rsidRDefault="00EA1991" w:rsidP="006F3E80">
      <w:pPr>
        <w:spacing w:after="0" w:line="240" w:lineRule="auto"/>
      </w:pPr>
      <w:r>
        <w:separator/>
      </w:r>
    </w:p>
  </w:endnote>
  <w:endnote w:type="continuationSeparator" w:id="0">
    <w:p w:rsidR="00EA1991" w:rsidRDefault="00EA1991" w:rsidP="006F3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4300230"/>
      <w:docPartObj>
        <w:docPartGallery w:val="Page Numbers (Bottom of Page)"/>
        <w:docPartUnique/>
      </w:docPartObj>
    </w:sdtPr>
    <w:sdtEndPr>
      <w:rPr>
        <w:rFonts w:ascii="Gill Sans MT" w:hAnsi="Gill Sans MT"/>
        <w:noProof/>
        <w:sz w:val="20"/>
        <w:szCs w:val="20"/>
      </w:rPr>
    </w:sdtEndPr>
    <w:sdtContent>
      <w:p w:rsidR="00E86E11" w:rsidRPr="00E86E11" w:rsidRDefault="00E86E11">
        <w:pPr>
          <w:pStyle w:val="Footer"/>
          <w:jc w:val="right"/>
          <w:rPr>
            <w:rFonts w:ascii="Gill Sans MT" w:hAnsi="Gill Sans MT"/>
            <w:sz w:val="20"/>
            <w:szCs w:val="20"/>
          </w:rPr>
        </w:pPr>
        <w:r w:rsidRPr="00E86E11">
          <w:rPr>
            <w:rFonts w:ascii="Gill Sans MT" w:hAnsi="Gill Sans MT"/>
            <w:sz w:val="20"/>
            <w:szCs w:val="20"/>
          </w:rPr>
          <w:fldChar w:fldCharType="begin"/>
        </w:r>
        <w:r w:rsidRPr="00E86E11">
          <w:rPr>
            <w:rFonts w:ascii="Gill Sans MT" w:hAnsi="Gill Sans MT"/>
            <w:sz w:val="20"/>
            <w:szCs w:val="20"/>
          </w:rPr>
          <w:instrText xml:space="preserve"> PAGE   \* MERGEFORMAT </w:instrText>
        </w:r>
        <w:r w:rsidRPr="00E86E11">
          <w:rPr>
            <w:rFonts w:ascii="Gill Sans MT" w:hAnsi="Gill Sans MT"/>
            <w:sz w:val="20"/>
            <w:szCs w:val="20"/>
          </w:rPr>
          <w:fldChar w:fldCharType="separate"/>
        </w:r>
        <w:r w:rsidR="00D85599">
          <w:rPr>
            <w:rFonts w:ascii="Gill Sans MT" w:hAnsi="Gill Sans MT"/>
            <w:noProof/>
            <w:sz w:val="20"/>
            <w:szCs w:val="20"/>
          </w:rPr>
          <w:t>1</w:t>
        </w:r>
        <w:r w:rsidRPr="00E86E11">
          <w:rPr>
            <w:rFonts w:ascii="Gill Sans MT" w:hAnsi="Gill Sans MT"/>
            <w:noProof/>
            <w:sz w:val="20"/>
            <w:szCs w:val="20"/>
          </w:rPr>
          <w:fldChar w:fldCharType="end"/>
        </w:r>
      </w:p>
    </w:sdtContent>
  </w:sdt>
  <w:p w:rsidR="00E86E11" w:rsidRDefault="00E86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991" w:rsidRDefault="00EA1991" w:rsidP="006F3E80">
      <w:pPr>
        <w:spacing w:after="0" w:line="240" w:lineRule="auto"/>
      </w:pPr>
      <w:r>
        <w:separator/>
      </w:r>
    </w:p>
  </w:footnote>
  <w:footnote w:type="continuationSeparator" w:id="0">
    <w:p w:rsidR="00EA1991" w:rsidRDefault="00EA1991" w:rsidP="006F3E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E80" w:rsidRDefault="00204593" w:rsidP="00204593">
    <w:pPr>
      <w:pStyle w:val="Header"/>
      <w:tabs>
        <w:tab w:val="clear" w:pos="9406"/>
      </w:tabs>
      <w:jc w:val="right"/>
    </w:pPr>
    <w:r w:rsidRPr="00204593">
      <w:rPr>
        <w:noProof/>
      </w:rPr>
      <w:drawing>
        <wp:inline distT="0" distB="0" distL="0" distR="0" wp14:anchorId="3287BB59" wp14:editId="1C2B0A32">
          <wp:extent cx="2579298" cy="46058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88748" cy="46227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D18BC"/>
    <w:multiLevelType w:val="hybridMultilevel"/>
    <w:tmpl w:val="2A6A8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D86F20"/>
    <w:multiLevelType w:val="hybridMultilevel"/>
    <w:tmpl w:val="8EA6E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C14C36"/>
    <w:multiLevelType w:val="hybridMultilevel"/>
    <w:tmpl w:val="1A7C5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4F1360"/>
    <w:multiLevelType w:val="hybridMultilevel"/>
    <w:tmpl w:val="E51CF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990AA0"/>
    <w:multiLevelType w:val="hybridMultilevel"/>
    <w:tmpl w:val="1A7C5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CC40A1"/>
    <w:multiLevelType w:val="hybridMultilevel"/>
    <w:tmpl w:val="BD5E6F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CFC446EA">
      <w:start w:val="1"/>
      <w:numFmt w:val="bullet"/>
      <w:lvlText w:val="-"/>
      <w:lvlJc w:val="left"/>
      <w:pPr>
        <w:ind w:left="2340" w:hanging="360"/>
      </w:pPr>
      <w:rPr>
        <w:rFonts w:ascii="Calibri" w:eastAsiaTheme="minorHAnsi"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62403B5"/>
    <w:multiLevelType w:val="hybridMultilevel"/>
    <w:tmpl w:val="BDD07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546331"/>
    <w:multiLevelType w:val="hybridMultilevel"/>
    <w:tmpl w:val="31FA9CDC"/>
    <w:lvl w:ilvl="0" w:tplc="08090003">
      <w:start w:val="1"/>
      <w:numFmt w:val="bullet"/>
      <w:lvlText w:val="o"/>
      <w:lvlJc w:val="left"/>
      <w:pPr>
        <w:ind w:left="1004" w:hanging="360"/>
      </w:pPr>
      <w:rPr>
        <w:rFonts w:ascii="Courier New" w:hAnsi="Courier New" w:cs="Courier New"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7"/>
  </w:num>
  <w:num w:numId="2">
    <w:abstractNumId w:val="6"/>
  </w:num>
  <w:num w:numId="3">
    <w:abstractNumId w:val="4"/>
  </w:num>
  <w:num w:numId="4">
    <w:abstractNumId w:val="2"/>
  </w:num>
  <w:num w:numId="5">
    <w:abstractNumId w:val="5"/>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90"/>
    <w:rsid w:val="00010AB6"/>
    <w:rsid w:val="00031723"/>
    <w:rsid w:val="00032BB7"/>
    <w:rsid w:val="00062A91"/>
    <w:rsid w:val="00067A4A"/>
    <w:rsid w:val="000911A2"/>
    <w:rsid w:val="000A0DAD"/>
    <w:rsid w:val="000D14D8"/>
    <w:rsid w:val="000E6543"/>
    <w:rsid w:val="001024D3"/>
    <w:rsid w:val="00132AA7"/>
    <w:rsid w:val="00137408"/>
    <w:rsid w:val="00145D99"/>
    <w:rsid w:val="00175453"/>
    <w:rsid w:val="00176AE5"/>
    <w:rsid w:val="001904BC"/>
    <w:rsid w:val="00190DF4"/>
    <w:rsid w:val="001A1D3E"/>
    <w:rsid w:val="001A4472"/>
    <w:rsid w:val="001A7E76"/>
    <w:rsid w:val="001B16B9"/>
    <w:rsid w:val="001C0537"/>
    <w:rsid w:val="001E60A7"/>
    <w:rsid w:val="00204593"/>
    <w:rsid w:val="00233ED2"/>
    <w:rsid w:val="002365ED"/>
    <w:rsid w:val="00247F24"/>
    <w:rsid w:val="00251430"/>
    <w:rsid w:val="00272764"/>
    <w:rsid w:val="00286B60"/>
    <w:rsid w:val="00295B9E"/>
    <w:rsid w:val="002A2766"/>
    <w:rsid w:val="002B0085"/>
    <w:rsid w:val="002C330E"/>
    <w:rsid w:val="002C52E5"/>
    <w:rsid w:val="002E142F"/>
    <w:rsid w:val="002E7529"/>
    <w:rsid w:val="002F6E3B"/>
    <w:rsid w:val="003076B7"/>
    <w:rsid w:val="00312604"/>
    <w:rsid w:val="003137AB"/>
    <w:rsid w:val="003249BF"/>
    <w:rsid w:val="00355E7A"/>
    <w:rsid w:val="0036321B"/>
    <w:rsid w:val="00374687"/>
    <w:rsid w:val="0039648B"/>
    <w:rsid w:val="003A0155"/>
    <w:rsid w:val="003A519D"/>
    <w:rsid w:val="003C26CF"/>
    <w:rsid w:val="003C4842"/>
    <w:rsid w:val="003D22FE"/>
    <w:rsid w:val="003E1A6D"/>
    <w:rsid w:val="003E3C26"/>
    <w:rsid w:val="003F05D1"/>
    <w:rsid w:val="004010EB"/>
    <w:rsid w:val="004020A1"/>
    <w:rsid w:val="0044695A"/>
    <w:rsid w:val="0044746A"/>
    <w:rsid w:val="00461799"/>
    <w:rsid w:val="00464182"/>
    <w:rsid w:val="0047212D"/>
    <w:rsid w:val="004A0637"/>
    <w:rsid w:val="004B6DFE"/>
    <w:rsid w:val="004E43D5"/>
    <w:rsid w:val="004F0504"/>
    <w:rsid w:val="004F1A0C"/>
    <w:rsid w:val="00511251"/>
    <w:rsid w:val="00524BAA"/>
    <w:rsid w:val="00532930"/>
    <w:rsid w:val="00534338"/>
    <w:rsid w:val="005612BF"/>
    <w:rsid w:val="00563B2C"/>
    <w:rsid w:val="00575EFC"/>
    <w:rsid w:val="00582C91"/>
    <w:rsid w:val="00584335"/>
    <w:rsid w:val="00587581"/>
    <w:rsid w:val="00597840"/>
    <w:rsid w:val="005B7B12"/>
    <w:rsid w:val="005C0420"/>
    <w:rsid w:val="005C53B0"/>
    <w:rsid w:val="005C6F90"/>
    <w:rsid w:val="005D2052"/>
    <w:rsid w:val="005D362C"/>
    <w:rsid w:val="005D552E"/>
    <w:rsid w:val="005E4BA4"/>
    <w:rsid w:val="00600489"/>
    <w:rsid w:val="006101B5"/>
    <w:rsid w:val="00621FF2"/>
    <w:rsid w:val="00624F29"/>
    <w:rsid w:val="00674E1C"/>
    <w:rsid w:val="00677453"/>
    <w:rsid w:val="006961C3"/>
    <w:rsid w:val="006A39A4"/>
    <w:rsid w:val="006B0DA9"/>
    <w:rsid w:val="006C6BD9"/>
    <w:rsid w:val="006E0761"/>
    <w:rsid w:val="006F03BD"/>
    <w:rsid w:val="006F3E80"/>
    <w:rsid w:val="00721ECE"/>
    <w:rsid w:val="0076763B"/>
    <w:rsid w:val="00772C14"/>
    <w:rsid w:val="00794990"/>
    <w:rsid w:val="00795BA2"/>
    <w:rsid w:val="007C12E7"/>
    <w:rsid w:val="007C3AD8"/>
    <w:rsid w:val="007F3F3E"/>
    <w:rsid w:val="007F4AE1"/>
    <w:rsid w:val="00803BD6"/>
    <w:rsid w:val="00805CED"/>
    <w:rsid w:val="00811ADD"/>
    <w:rsid w:val="00824195"/>
    <w:rsid w:val="0082723A"/>
    <w:rsid w:val="00852949"/>
    <w:rsid w:val="008600F3"/>
    <w:rsid w:val="00885FB4"/>
    <w:rsid w:val="0089022C"/>
    <w:rsid w:val="00897B2C"/>
    <w:rsid w:val="008B1C73"/>
    <w:rsid w:val="008B5EDE"/>
    <w:rsid w:val="008C0963"/>
    <w:rsid w:val="008E1084"/>
    <w:rsid w:val="008E306F"/>
    <w:rsid w:val="009125FF"/>
    <w:rsid w:val="009374E9"/>
    <w:rsid w:val="00956897"/>
    <w:rsid w:val="009672C5"/>
    <w:rsid w:val="0097438E"/>
    <w:rsid w:val="009A7BFD"/>
    <w:rsid w:val="009D2036"/>
    <w:rsid w:val="009F1C30"/>
    <w:rsid w:val="00A158FA"/>
    <w:rsid w:val="00A31514"/>
    <w:rsid w:val="00A360DE"/>
    <w:rsid w:val="00A370BA"/>
    <w:rsid w:val="00A63B4C"/>
    <w:rsid w:val="00A76610"/>
    <w:rsid w:val="00A80ECE"/>
    <w:rsid w:val="00AA57DF"/>
    <w:rsid w:val="00AA6B37"/>
    <w:rsid w:val="00AB4CDA"/>
    <w:rsid w:val="00AD6EF6"/>
    <w:rsid w:val="00AE7170"/>
    <w:rsid w:val="00AF0238"/>
    <w:rsid w:val="00B2057C"/>
    <w:rsid w:val="00B3324B"/>
    <w:rsid w:val="00B55459"/>
    <w:rsid w:val="00B56BA1"/>
    <w:rsid w:val="00B7771D"/>
    <w:rsid w:val="00B81FB8"/>
    <w:rsid w:val="00B908A4"/>
    <w:rsid w:val="00B951D0"/>
    <w:rsid w:val="00BD71A9"/>
    <w:rsid w:val="00BE2E15"/>
    <w:rsid w:val="00BF3DE3"/>
    <w:rsid w:val="00BF6A8E"/>
    <w:rsid w:val="00C00816"/>
    <w:rsid w:val="00C1160E"/>
    <w:rsid w:val="00C13254"/>
    <w:rsid w:val="00C206A0"/>
    <w:rsid w:val="00C45F93"/>
    <w:rsid w:val="00C625C2"/>
    <w:rsid w:val="00C6416C"/>
    <w:rsid w:val="00C67510"/>
    <w:rsid w:val="00CC0844"/>
    <w:rsid w:val="00CD67F1"/>
    <w:rsid w:val="00CD765B"/>
    <w:rsid w:val="00CE0AE8"/>
    <w:rsid w:val="00CE57DA"/>
    <w:rsid w:val="00D00578"/>
    <w:rsid w:val="00D028FF"/>
    <w:rsid w:val="00D10A0F"/>
    <w:rsid w:val="00D2638B"/>
    <w:rsid w:val="00D31272"/>
    <w:rsid w:val="00D343D4"/>
    <w:rsid w:val="00D348C6"/>
    <w:rsid w:val="00D40BE3"/>
    <w:rsid w:val="00D5606C"/>
    <w:rsid w:val="00D732CE"/>
    <w:rsid w:val="00D77116"/>
    <w:rsid w:val="00D777D6"/>
    <w:rsid w:val="00D85599"/>
    <w:rsid w:val="00D87C85"/>
    <w:rsid w:val="00D972A0"/>
    <w:rsid w:val="00D974CD"/>
    <w:rsid w:val="00DA675F"/>
    <w:rsid w:val="00DC5F97"/>
    <w:rsid w:val="00DF2DF6"/>
    <w:rsid w:val="00DF625B"/>
    <w:rsid w:val="00E01388"/>
    <w:rsid w:val="00E0582E"/>
    <w:rsid w:val="00E27CED"/>
    <w:rsid w:val="00E66B24"/>
    <w:rsid w:val="00E70417"/>
    <w:rsid w:val="00E73718"/>
    <w:rsid w:val="00E76F35"/>
    <w:rsid w:val="00E86E11"/>
    <w:rsid w:val="00E87869"/>
    <w:rsid w:val="00EA1991"/>
    <w:rsid w:val="00EB4ED6"/>
    <w:rsid w:val="00EB51A8"/>
    <w:rsid w:val="00EC4CF9"/>
    <w:rsid w:val="00F106EA"/>
    <w:rsid w:val="00F1183D"/>
    <w:rsid w:val="00F22F41"/>
    <w:rsid w:val="00F241AF"/>
    <w:rsid w:val="00F7625B"/>
    <w:rsid w:val="00F818DD"/>
    <w:rsid w:val="00FA7044"/>
    <w:rsid w:val="00FE0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4695A"/>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E80"/>
    <w:pPr>
      <w:tabs>
        <w:tab w:val="center" w:pos="4703"/>
        <w:tab w:val="right" w:pos="9406"/>
      </w:tabs>
      <w:spacing w:after="0" w:line="240" w:lineRule="auto"/>
    </w:pPr>
  </w:style>
  <w:style w:type="character" w:customStyle="1" w:styleId="HeaderChar">
    <w:name w:val="Header Char"/>
    <w:basedOn w:val="DefaultParagraphFont"/>
    <w:link w:val="Header"/>
    <w:uiPriority w:val="99"/>
    <w:rsid w:val="006F3E80"/>
  </w:style>
  <w:style w:type="paragraph" w:styleId="Footer">
    <w:name w:val="footer"/>
    <w:basedOn w:val="Normal"/>
    <w:link w:val="FooterChar"/>
    <w:uiPriority w:val="99"/>
    <w:unhideWhenUsed/>
    <w:rsid w:val="006F3E80"/>
    <w:pPr>
      <w:tabs>
        <w:tab w:val="center" w:pos="4703"/>
        <w:tab w:val="right" w:pos="9406"/>
      </w:tabs>
      <w:spacing w:after="0" w:line="240" w:lineRule="auto"/>
    </w:pPr>
  </w:style>
  <w:style w:type="character" w:customStyle="1" w:styleId="FooterChar">
    <w:name w:val="Footer Char"/>
    <w:basedOn w:val="DefaultParagraphFont"/>
    <w:link w:val="Footer"/>
    <w:uiPriority w:val="99"/>
    <w:rsid w:val="006F3E80"/>
  </w:style>
  <w:style w:type="paragraph" w:styleId="BalloonText">
    <w:name w:val="Balloon Text"/>
    <w:basedOn w:val="Normal"/>
    <w:link w:val="BalloonTextChar"/>
    <w:uiPriority w:val="99"/>
    <w:semiHidden/>
    <w:unhideWhenUsed/>
    <w:rsid w:val="006F3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E80"/>
    <w:rPr>
      <w:rFonts w:ascii="Tahoma" w:hAnsi="Tahoma" w:cs="Tahoma"/>
      <w:sz w:val="16"/>
      <w:szCs w:val="16"/>
    </w:rPr>
  </w:style>
  <w:style w:type="paragraph" w:styleId="ListParagraph">
    <w:name w:val="List Paragraph"/>
    <w:basedOn w:val="Normal"/>
    <w:uiPriority w:val="34"/>
    <w:qFormat/>
    <w:rsid w:val="00C45F93"/>
    <w:pPr>
      <w:ind w:left="720"/>
      <w:contextualSpacing/>
    </w:pPr>
  </w:style>
  <w:style w:type="character" w:customStyle="1" w:styleId="Heading4Char">
    <w:name w:val="Heading 4 Char"/>
    <w:basedOn w:val="DefaultParagraphFont"/>
    <w:link w:val="Heading4"/>
    <w:uiPriority w:val="9"/>
    <w:rsid w:val="0044695A"/>
    <w:rPr>
      <w:rFonts w:ascii="Times New Roman" w:eastAsia="Times New Roman" w:hAnsi="Times New Roman" w:cs="Times New Roman"/>
      <w:b/>
      <w:bCs/>
      <w:sz w:val="24"/>
      <w:szCs w:val="24"/>
      <w:lang w:val="en-GB" w:eastAsia="en-GB"/>
    </w:rPr>
  </w:style>
  <w:style w:type="paragraph" w:styleId="FootnoteText">
    <w:name w:val="footnote text"/>
    <w:basedOn w:val="Normal"/>
    <w:link w:val="FootnoteTextChar"/>
    <w:uiPriority w:val="99"/>
    <w:semiHidden/>
    <w:unhideWhenUsed/>
    <w:rsid w:val="00190DF4"/>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190DF4"/>
    <w:rPr>
      <w:sz w:val="20"/>
      <w:szCs w:val="20"/>
      <w:lang w:val="en-GB"/>
    </w:rPr>
  </w:style>
  <w:style w:type="character" w:styleId="Hyperlink">
    <w:name w:val="Hyperlink"/>
    <w:basedOn w:val="DefaultParagraphFont"/>
    <w:uiPriority w:val="99"/>
    <w:unhideWhenUsed/>
    <w:rsid w:val="00E86E11"/>
    <w:rPr>
      <w:color w:val="0000FF" w:themeColor="hyperlink"/>
      <w:u w:val="single"/>
    </w:rPr>
  </w:style>
  <w:style w:type="paragraph" w:styleId="EndnoteText">
    <w:name w:val="endnote text"/>
    <w:basedOn w:val="Normal"/>
    <w:link w:val="EndnoteTextChar"/>
    <w:uiPriority w:val="99"/>
    <w:semiHidden/>
    <w:unhideWhenUsed/>
    <w:rsid w:val="00D5606C"/>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D5606C"/>
    <w:rPr>
      <w:sz w:val="20"/>
      <w:szCs w:val="20"/>
      <w:lang w:val="en-GB"/>
    </w:rPr>
  </w:style>
  <w:style w:type="character" w:styleId="EndnoteReference">
    <w:name w:val="endnote reference"/>
    <w:basedOn w:val="DefaultParagraphFont"/>
    <w:uiPriority w:val="99"/>
    <w:semiHidden/>
    <w:unhideWhenUsed/>
    <w:rsid w:val="00D5606C"/>
    <w:rPr>
      <w:vertAlign w:val="superscript"/>
    </w:rPr>
  </w:style>
  <w:style w:type="character" w:styleId="FollowedHyperlink">
    <w:name w:val="FollowedHyperlink"/>
    <w:basedOn w:val="DefaultParagraphFont"/>
    <w:uiPriority w:val="99"/>
    <w:semiHidden/>
    <w:unhideWhenUsed/>
    <w:rsid w:val="00D5606C"/>
    <w:rPr>
      <w:color w:val="800080" w:themeColor="followedHyperlink"/>
      <w:u w:val="single"/>
    </w:rPr>
  </w:style>
  <w:style w:type="paragraph" w:customStyle="1" w:styleId="Default">
    <w:name w:val="Default"/>
    <w:rsid w:val="00010AB6"/>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44695A"/>
    <w:pPr>
      <w:spacing w:before="100" w:beforeAutospacing="1" w:after="100" w:afterAutospacing="1" w:line="240" w:lineRule="auto"/>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E80"/>
    <w:pPr>
      <w:tabs>
        <w:tab w:val="center" w:pos="4703"/>
        <w:tab w:val="right" w:pos="9406"/>
      </w:tabs>
      <w:spacing w:after="0" w:line="240" w:lineRule="auto"/>
    </w:pPr>
  </w:style>
  <w:style w:type="character" w:customStyle="1" w:styleId="HeaderChar">
    <w:name w:val="Header Char"/>
    <w:basedOn w:val="DefaultParagraphFont"/>
    <w:link w:val="Header"/>
    <w:uiPriority w:val="99"/>
    <w:rsid w:val="006F3E80"/>
  </w:style>
  <w:style w:type="paragraph" w:styleId="Footer">
    <w:name w:val="footer"/>
    <w:basedOn w:val="Normal"/>
    <w:link w:val="FooterChar"/>
    <w:uiPriority w:val="99"/>
    <w:unhideWhenUsed/>
    <w:rsid w:val="006F3E80"/>
    <w:pPr>
      <w:tabs>
        <w:tab w:val="center" w:pos="4703"/>
        <w:tab w:val="right" w:pos="9406"/>
      </w:tabs>
      <w:spacing w:after="0" w:line="240" w:lineRule="auto"/>
    </w:pPr>
  </w:style>
  <w:style w:type="character" w:customStyle="1" w:styleId="FooterChar">
    <w:name w:val="Footer Char"/>
    <w:basedOn w:val="DefaultParagraphFont"/>
    <w:link w:val="Footer"/>
    <w:uiPriority w:val="99"/>
    <w:rsid w:val="006F3E80"/>
  </w:style>
  <w:style w:type="paragraph" w:styleId="BalloonText">
    <w:name w:val="Balloon Text"/>
    <w:basedOn w:val="Normal"/>
    <w:link w:val="BalloonTextChar"/>
    <w:uiPriority w:val="99"/>
    <w:semiHidden/>
    <w:unhideWhenUsed/>
    <w:rsid w:val="006F3E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E80"/>
    <w:rPr>
      <w:rFonts w:ascii="Tahoma" w:hAnsi="Tahoma" w:cs="Tahoma"/>
      <w:sz w:val="16"/>
      <w:szCs w:val="16"/>
    </w:rPr>
  </w:style>
  <w:style w:type="paragraph" w:styleId="ListParagraph">
    <w:name w:val="List Paragraph"/>
    <w:basedOn w:val="Normal"/>
    <w:uiPriority w:val="34"/>
    <w:qFormat/>
    <w:rsid w:val="00C45F93"/>
    <w:pPr>
      <w:ind w:left="720"/>
      <w:contextualSpacing/>
    </w:pPr>
  </w:style>
  <w:style w:type="character" w:customStyle="1" w:styleId="Heading4Char">
    <w:name w:val="Heading 4 Char"/>
    <w:basedOn w:val="DefaultParagraphFont"/>
    <w:link w:val="Heading4"/>
    <w:uiPriority w:val="9"/>
    <w:rsid w:val="0044695A"/>
    <w:rPr>
      <w:rFonts w:ascii="Times New Roman" w:eastAsia="Times New Roman" w:hAnsi="Times New Roman" w:cs="Times New Roman"/>
      <w:b/>
      <w:bCs/>
      <w:sz w:val="24"/>
      <w:szCs w:val="24"/>
      <w:lang w:val="en-GB" w:eastAsia="en-GB"/>
    </w:rPr>
  </w:style>
  <w:style w:type="paragraph" w:styleId="FootnoteText">
    <w:name w:val="footnote text"/>
    <w:basedOn w:val="Normal"/>
    <w:link w:val="FootnoteTextChar"/>
    <w:uiPriority w:val="99"/>
    <w:semiHidden/>
    <w:unhideWhenUsed/>
    <w:rsid w:val="00190DF4"/>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190DF4"/>
    <w:rPr>
      <w:sz w:val="20"/>
      <w:szCs w:val="20"/>
      <w:lang w:val="en-GB"/>
    </w:rPr>
  </w:style>
  <w:style w:type="character" w:styleId="Hyperlink">
    <w:name w:val="Hyperlink"/>
    <w:basedOn w:val="DefaultParagraphFont"/>
    <w:uiPriority w:val="99"/>
    <w:unhideWhenUsed/>
    <w:rsid w:val="00E86E11"/>
    <w:rPr>
      <w:color w:val="0000FF" w:themeColor="hyperlink"/>
      <w:u w:val="single"/>
    </w:rPr>
  </w:style>
  <w:style w:type="paragraph" w:styleId="EndnoteText">
    <w:name w:val="endnote text"/>
    <w:basedOn w:val="Normal"/>
    <w:link w:val="EndnoteTextChar"/>
    <w:uiPriority w:val="99"/>
    <w:semiHidden/>
    <w:unhideWhenUsed/>
    <w:rsid w:val="00D5606C"/>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D5606C"/>
    <w:rPr>
      <w:sz w:val="20"/>
      <w:szCs w:val="20"/>
      <w:lang w:val="en-GB"/>
    </w:rPr>
  </w:style>
  <w:style w:type="character" w:styleId="EndnoteReference">
    <w:name w:val="endnote reference"/>
    <w:basedOn w:val="DefaultParagraphFont"/>
    <w:uiPriority w:val="99"/>
    <w:semiHidden/>
    <w:unhideWhenUsed/>
    <w:rsid w:val="00D5606C"/>
    <w:rPr>
      <w:vertAlign w:val="superscript"/>
    </w:rPr>
  </w:style>
  <w:style w:type="character" w:styleId="FollowedHyperlink">
    <w:name w:val="FollowedHyperlink"/>
    <w:basedOn w:val="DefaultParagraphFont"/>
    <w:uiPriority w:val="99"/>
    <w:semiHidden/>
    <w:unhideWhenUsed/>
    <w:rsid w:val="00D5606C"/>
    <w:rPr>
      <w:color w:val="800080" w:themeColor="followedHyperlink"/>
      <w:u w:val="single"/>
    </w:rPr>
  </w:style>
  <w:style w:type="paragraph" w:customStyle="1" w:styleId="Default">
    <w:name w:val="Default"/>
    <w:rsid w:val="00010AB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reventionweb.net/posthfa/consultation-process" TargetMode="External"/><Relationship Id="rId18" Type="http://schemas.openxmlformats.org/officeDocument/2006/relationships/hyperlink" Target="http://preventionweb.net/go/35675" TargetMode="External"/><Relationship Id="rId3" Type="http://schemas.microsoft.com/office/2007/relationships/stylesWithEffects" Target="stylesWithEffects.xml"/><Relationship Id="rId21" Type="http://schemas.openxmlformats.org/officeDocument/2006/relationships/hyperlink" Target="mailto:WanambwaL@africa-union.org" TargetMode="External"/><Relationship Id="rId7" Type="http://schemas.openxmlformats.org/officeDocument/2006/relationships/endnotes" Target="endnotes.xml"/><Relationship Id="rId12" Type="http://schemas.openxmlformats.org/officeDocument/2006/relationships/hyperlink" Target="http://(www.preventionweb.net/globalplatform/2013/programme/consultation/view/463" TargetMode="External"/><Relationship Id="rId17" Type="http://schemas.openxmlformats.org/officeDocument/2006/relationships/hyperlink" Target="http://www.preventionweb.net/posthfa/consultation-process" TargetMode="External"/><Relationship Id="rId2" Type="http://schemas.openxmlformats.org/officeDocument/2006/relationships/styles" Target="styles.xml"/><Relationship Id="rId16" Type="http://schemas.openxmlformats.org/officeDocument/2006/relationships/hyperlink" Target="http://(www.preventionweb.net/globalplatform/2013/programme/consultation/view/463" TargetMode="External"/><Relationship Id="rId20" Type="http://schemas.openxmlformats.org/officeDocument/2006/relationships/hyperlink" Target="mailto:Animesh.Kumar@unisdr.unon.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nisdr.org/we/inform/events/30143" TargetMode="External"/><Relationship Id="rId5" Type="http://schemas.openxmlformats.org/officeDocument/2006/relationships/webSettings" Target="webSettings.xml"/><Relationship Id="rId15" Type="http://schemas.openxmlformats.org/officeDocument/2006/relationships/hyperlink" Target="http://www.unisdr.org/we/inform/events/30143" TargetMode="External"/><Relationship Id="rId23" Type="http://schemas.openxmlformats.org/officeDocument/2006/relationships/theme" Target="theme/theme1.xml"/><Relationship Id="rId10" Type="http://schemas.openxmlformats.org/officeDocument/2006/relationships/hyperlink" Target="http://www.preventionweb.net/afrp/2014" TargetMode="External"/><Relationship Id="rId19" Type="http://schemas.openxmlformats.org/officeDocument/2006/relationships/hyperlink" Target="http://www.ecowas.i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reventionweb.net/go/35675"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Animesh Kumar</dc:creator>
  <cp:lastModifiedBy>Animesh Kumar</cp:lastModifiedBy>
  <cp:revision>7</cp:revision>
  <cp:lastPrinted>2014-01-27T13:49:00Z</cp:lastPrinted>
  <dcterms:created xsi:type="dcterms:W3CDTF">2014-02-05T13:19:00Z</dcterms:created>
  <dcterms:modified xsi:type="dcterms:W3CDTF">2014-02-05T14:21:00Z</dcterms:modified>
</cp:coreProperties>
</file>