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48"/>
        <w:gridCol w:w="5148"/>
      </w:tblGrid>
      <w:tr w:rsidR="00BC347A" w:rsidTr="00E5593C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BC347A" w:rsidRDefault="00F94101" w:rsidP="008B5CD7">
            <w:pPr>
              <w:keepNext/>
              <w:autoSpaceDE w:val="0"/>
              <w:autoSpaceDN w:val="0"/>
              <w:adjustRightInd w:val="0"/>
              <w:spacing w:line="240" w:lineRule="atLeast"/>
              <w:ind w:left="108"/>
              <w:jc w:val="center"/>
              <w:rPr>
                <w:rFonts w:ascii="Tms Rmn" w:hAnsi="Tms Rmn"/>
              </w:rPr>
            </w:pPr>
            <w:bookmarkStart w:id="0" w:name="_GoBack"/>
            <w:bookmarkEnd w:id="0"/>
            <w:r>
              <w:rPr>
                <w:rFonts w:ascii="Tms Rmn" w:hAnsi="Tms Rmn"/>
                <w:noProof/>
              </w:rPr>
              <w:drawing>
                <wp:inline distT="0" distB="0" distL="0" distR="0" wp14:anchorId="5C9B09B2" wp14:editId="42CFD372">
                  <wp:extent cx="2628900" cy="7334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C347A" w:rsidRDefault="00BC347A">
            <w:pPr>
              <w:autoSpaceDE w:val="0"/>
              <w:autoSpaceDN w:val="0"/>
              <w:adjustRightInd w:val="0"/>
              <w:spacing w:line="240" w:lineRule="atLeast"/>
              <w:ind w:left="108" w:right="108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  <w:p w:rsidR="00BC347A" w:rsidRPr="00F73F3C" w:rsidRDefault="00BC347A" w:rsidP="004E23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F73F3C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NEWS RELEASE</w:t>
            </w:r>
            <w:r w:rsidRPr="00F73F3C">
              <w:rPr>
                <w:color w:val="000000"/>
                <w:sz w:val="26"/>
                <w:szCs w:val="26"/>
              </w:rPr>
              <w:t xml:space="preserve">                                                           </w:t>
            </w:r>
          </w:p>
        </w:tc>
      </w:tr>
    </w:tbl>
    <w:p w:rsidR="00416C6F" w:rsidRDefault="00416C6F" w:rsidP="00177CEB">
      <w:pPr>
        <w:rPr>
          <w:rFonts w:ascii="Arial" w:hAnsi="Arial" w:cs="Arial"/>
          <w:b/>
          <w:sz w:val="20"/>
          <w:szCs w:val="20"/>
        </w:rPr>
      </w:pPr>
    </w:p>
    <w:p w:rsidR="00416C6F" w:rsidRDefault="009153C0" w:rsidP="00177CE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9EF97D4" wp14:editId="37A06A92">
                <wp:simplePos x="0" y="0"/>
                <wp:positionH relativeFrom="column">
                  <wp:posOffset>-407670</wp:posOffset>
                </wp:positionH>
                <wp:positionV relativeFrom="paragraph">
                  <wp:posOffset>92074</wp:posOffset>
                </wp:positionV>
                <wp:extent cx="7115175" cy="0"/>
                <wp:effectExtent l="0" t="0" r="952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2.1pt;margin-top:7.25pt;width:560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vIHQ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"/>
            </w:pict>
          </mc:Fallback>
        </mc:AlternateContent>
      </w:r>
    </w:p>
    <w:p w:rsidR="00A20F2C" w:rsidRPr="00A20F2C" w:rsidRDefault="00A20F2C" w:rsidP="00A20F2C">
      <w:pPr>
        <w:ind w:right="-72"/>
        <w:rPr>
          <w:rFonts w:ascii="Arial" w:hAnsi="Arial" w:cs="Arial"/>
          <w:color w:val="000000"/>
          <w:sz w:val="20"/>
          <w:szCs w:val="20"/>
        </w:rPr>
      </w:pPr>
    </w:p>
    <w:p w:rsidR="00DB323D" w:rsidRDefault="00DB323D" w:rsidP="00A20F2C">
      <w:pPr>
        <w:ind w:right="-72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0E10F9" w:rsidRDefault="00BB2848" w:rsidP="00A20F2C">
      <w:pPr>
        <w:ind w:right="-72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Losses from </w:t>
      </w:r>
      <w:r w:rsidR="000E10F9">
        <w:rPr>
          <w:rFonts w:ascii="Arial" w:hAnsi="Arial" w:cs="Arial"/>
          <w:b/>
          <w:color w:val="000000"/>
          <w:sz w:val="32"/>
          <w:szCs w:val="32"/>
        </w:rPr>
        <w:t xml:space="preserve">Disasters </w:t>
      </w:r>
      <w:r>
        <w:rPr>
          <w:rFonts w:ascii="Arial" w:hAnsi="Arial" w:cs="Arial"/>
          <w:b/>
          <w:color w:val="000000"/>
          <w:sz w:val="32"/>
          <w:szCs w:val="32"/>
        </w:rPr>
        <w:t>in E</w:t>
      </w:r>
      <w:r w:rsidR="000E10F9">
        <w:rPr>
          <w:rFonts w:ascii="Arial" w:hAnsi="Arial" w:cs="Arial"/>
          <w:b/>
          <w:color w:val="000000"/>
          <w:sz w:val="32"/>
          <w:szCs w:val="32"/>
        </w:rPr>
        <w:t>ast Asia and Pacific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Raise Concerns for Poverty Reduction</w:t>
      </w:r>
    </w:p>
    <w:p w:rsidR="00A20F2C" w:rsidRPr="000E10F9" w:rsidRDefault="000E10F9" w:rsidP="00A20F2C">
      <w:pPr>
        <w:ind w:right="-72"/>
        <w:jc w:val="center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/>
          <w:i/>
          <w:color w:val="000000"/>
        </w:rPr>
        <w:t xml:space="preserve">Investing in preparedness </w:t>
      </w:r>
      <w:r w:rsidR="00BB2848">
        <w:rPr>
          <w:rFonts w:ascii="Arial" w:hAnsi="Arial" w:cs="Arial"/>
          <w:b/>
          <w:i/>
          <w:color w:val="000000"/>
        </w:rPr>
        <w:t xml:space="preserve">can help </w:t>
      </w:r>
      <w:r>
        <w:rPr>
          <w:rFonts w:ascii="Arial" w:hAnsi="Arial" w:cs="Arial"/>
          <w:b/>
          <w:i/>
          <w:color w:val="000000"/>
        </w:rPr>
        <w:t>ensure inclusive growth</w:t>
      </w:r>
    </w:p>
    <w:p w:rsidR="00A20F2C" w:rsidRPr="00A20F2C" w:rsidRDefault="00A20F2C" w:rsidP="00A20F2C">
      <w:pPr>
        <w:ind w:right="-72"/>
        <w:rPr>
          <w:rFonts w:ascii="Arial" w:hAnsi="Arial" w:cs="Arial"/>
          <w:color w:val="000000"/>
          <w:sz w:val="20"/>
          <w:szCs w:val="20"/>
        </w:rPr>
      </w:pPr>
    </w:p>
    <w:p w:rsidR="00A20F2C" w:rsidRPr="00A20F2C" w:rsidRDefault="00A20F2C" w:rsidP="00A20F2C">
      <w:pPr>
        <w:ind w:right="-72"/>
        <w:rPr>
          <w:rFonts w:ascii="Arial" w:hAnsi="Arial" w:cs="Arial"/>
          <w:b/>
          <w:color w:val="000000"/>
          <w:sz w:val="20"/>
          <w:szCs w:val="20"/>
        </w:rPr>
      </w:pPr>
    </w:p>
    <w:p w:rsidR="00C067E0" w:rsidRDefault="00C067E0" w:rsidP="00C067E0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BANGKOK</w:t>
      </w:r>
      <w:r w:rsidR="00A20F2C" w:rsidRPr="00A20F2C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b/>
          <w:color w:val="000000"/>
          <w:sz w:val="20"/>
          <w:szCs w:val="20"/>
        </w:rPr>
        <w:t>June 3, 2013</w:t>
      </w:r>
      <w:r w:rsidR="00A20F2C" w:rsidRPr="00A20F2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B2848">
        <w:rPr>
          <w:rFonts w:ascii="Arial" w:hAnsi="Arial" w:cs="Arial"/>
          <w:b/>
          <w:color w:val="000000"/>
          <w:sz w:val="20"/>
          <w:szCs w:val="20"/>
        </w:rPr>
        <w:t>–</w:t>
      </w:r>
      <w:r w:rsidR="00A20F2C" w:rsidRPr="00A20F2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B2848">
        <w:rPr>
          <w:rFonts w:ascii="Arial" w:hAnsi="Arial" w:cs="Arial"/>
          <w:noProof/>
          <w:sz w:val="20"/>
          <w:szCs w:val="20"/>
        </w:rPr>
        <w:t>Rapidly growing c</w:t>
      </w:r>
      <w:r w:rsidRPr="00F67824">
        <w:rPr>
          <w:rFonts w:ascii="Arial" w:hAnsi="Arial" w:cs="Arial"/>
          <w:noProof/>
          <w:sz w:val="20"/>
          <w:szCs w:val="20"/>
        </w:rPr>
        <w:t xml:space="preserve">ities are becoming </w:t>
      </w:r>
      <w:r w:rsidR="00BB2848">
        <w:rPr>
          <w:rFonts w:ascii="Arial" w:hAnsi="Arial" w:cs="Arial"/>
          <w:noProof/>
          <w:sz w:val="20"/>
          <w:szCs w:val="20"/>
        </w:rPr>
        <w:t>increasingly vulnerable to di</w:t>
      </w:r>
      <w:r w:rsidRPr="00F67824">
        <w:rPr>
          <w:rFonts w:ascii="Arial" w:hAnsi="Arial" w:cs="Arial"/>
          <w:noProof/>
          <w:sz w:val="20"/>
          <w:szCs w:val="20"/>
        </w:rPr>
        <w:t>saster</w:t>
      </w:r>
      <w:r w:rsidR="00BB2848">
        <w:rPr>
          <w:rFonts w:ascii="Arial" w:hAnsi="Arial" w:cs="Arial"/>
          <w:noProof/>
          <w:sz w:val="20"/>
          <w:szCs w:val="20"/>
        </w:rPr>
        <w:t xml:space="preserve">s </w:t>
      </w:r>
      <w:r w:rsidRPr="00F67824">
        <w:rPr>
          <w:rFonts w:ascii="Arial" w:hAnsi="Arial" w:cs="Arial"/>
          <w:noProof/>
          <w:sz w:val="20"/>
          <w:szCs w:val="20"/>
        </w:rPr>
        <w:t>in the East Asia Pacfic region due to poor plann</w:t>
      </w:r>
      <w:r w:rsidR="00BB2848">
        <w:rPr>
          <w:rFonts w:ascii="Arial" w:hAnsi="Arial" w:cs="Arial"/>
          <w:noProof/>
          <w:sz w:val="20"/>
          <w:szCs w:val="20"/>
        </w:rPr>
        <w:t>ing</w:t>
      </w:r>
      <w:r w:rsidRPr="00F67824">
        <w:rPr>
          <w:rFonts w:ascii="Arial" w:hAnsi="Arial" w:cs="Arial"/>
          <w:noProof/>
          <w:sz w:val="20"/>
          <w:szCs w:val="20"/>
        </w:rPr>
        <w:t xml:space="preserve">, with </w:t>
      </w:r>
      <w:r>
        <w:rPr>
          <w:rFonts w:ascii="Arial" w:hAnsi="Arial" w:cs="Arial"/>
          <w:noProof/>
          <w:sz w:val="20"/>
          <w:szCs w:val="20"/>
        </w:rPr>
        <w:t xml:space="preserve">economic </w:t>
      </w:r>
      <w:r w:rsidRPr="00F67824">
        <w:rPr>
          <w:rFonts w:ascii="Arial" w:hAnsi="Arial" w:cs="Arial"/>
          <w:noProof/>
          <w:sz w:val="20"/>
          <w:szCs w:val="20"/>
        </w:rPr>
        <w:t>losses increasing dramatically</w:t>
      </w:r>
      <w:r w:rsidR="009407B6">
        <w:rPr>
          <w:rFonts w:ascii="Arial" w:hAnsi="Arial" w:cs="Arial"/>
          <w:noProof/>
          <w:sz w:val="20"/>
          <w:szCs w:val="20"/>
        </w:rPr>
        <w:t xml:space="preserve"> </w:t>
      </w:r>
      <w:r w:rsidRPr="00F67824">
        <w:rPr>
          <w:rFonts w:ascii="Arial" w:hAnsi="Arial" w:cs="Arial"/>
          <w:noProof/>
          <w:sz w:val="20"/>
          <w:szCs w:val="20"/>
        </w:rPr>
        <w:t>a</w:t>
      </w:r>
      <w:r w:rsidR="00BB2848">
        <w:rPr>
          <w:rFonts w:ascii="Arial" w:hAnsi="Arial" w:cs="Arial"/>
          <w:noProof/>
          <w:sz w:val="20"/>
          <w:szCs w:val="20"/>
        </w:rPr>
        <w:t xml:space="preserve">s the region grows wealthier, says a </w:t>
      </w:r>
      <w:r w:rsidRPr="00F67824">
        <w:rPr>
          <w:rFonts w:ascii="Arial" w:hAnsi="Arial" w:cs="Arial"/>
          <w:noProof/>
          <w:sz w:val="20"/>
          <w:szCs w:val="20"/>
        </w:rPr>
        <w:t xml:space="preserve">new World Bank </w:t>
      </w:r>
      <w:r>
        <w:rPr>
          <w:rFonts w:ascii="Arial" w:hAnsi="Arial" w:cs="Arial"/>
          <w:noProof/>
          <w:sz w:val="20"/>
          <w:szCs w:val="20"/>
        </w:rPr>
        <w:t xml:space="preserve">report. </w:t>
      </w:r>
      <w:r w:rsidR="00F17817">
        <w:rPr>
          <w:rFonts w:ascii="Arial" w:hAnsi="Arial" w:cs="Arial"/>
          <w:noProof/>
          <w:sz w:val="20"/>
          <w:szCs w:val="20"/>
        </w:rPr>
        <w:t>P</w:t>
      </w:r>
      <w:r w:rsidR="00F17817" w:rsidRPr="00F67824">
        <w:rPr>
          <w:rFonts w:ascii="Arial" w:hAnsi="Arial" w:cs="Arial"/>
          <w:noProof/>
          <w:sz w:val="20"/>
          <w:szCs w:val="20"/>
        </w:rPr>
        <w:t xml:space="preserve">olicy makers can </w:t>
      </w:r>
      <w:r w:rsidR="00F17817">
        <w:rPr>
          <w:rFonts w:ascii="Arial" w:hAnsi="Arial" w:cs="Arial"/>
          <w:noProof/>
          <w:sz w:val="20"/>
          <w:szCs w:val="20"/>
        </w:rPr>
        <w:t xml:space="preserve">make a significant difference </w:t>
      </w:r>
      <w:r w:rsidR="00BB2848">
        <w:rPr>
          <w:rFonts w:ascii="Arial" w:hAnsi="Arial" w:cs="Arial"/>
          <w:noProof/>
          <w:sz w:val="20"/>
          <w:szCs w:val="20"/>
        </w:rPr>
        <w:t xml:space="preserve">to ensure that progress in development and poverty reduction are not lost </w:t>
      </w:r>
      <w:r w:rsidR="00F17817">
        <w:rPr>
          <w:rFonts w:ascii="Arial" w:hAnsi="Arial" w:cs="Arial"/>
          <w:noProof/>
          <w:sz w:val="20"/>
          <w:szCs w:val="20"/>
        </w:rPr>
        <w:t>by acting now to build resilience</w:t>
      </w:r>
      <w:r w:rsidR="00BB2848">
        <w:rPr>
          <w:rFonts w:ascii="Arial" w:hAnsi="Arial" w:cs="Arial"/>
          <w:noProof/>
          <w:sz w:val="20"/>
          <w:szCs w:val="20"/>
        </w:rPr>
        <w:t>. I</w:t>
      </w:r>
      <w:r w:rsidR="00F17817">
        <w:rPr>
          <w:rFonts w:ascii="Arial" w:hAnsi="Arial" w:cs="Arial"/>
          <w:noProof/>
          <w:sz w:val="20"/>
          <w:szCs w:val="20"/>
        </w:rPr>
        <w:t>nvesting in disaster preparedness</w:t>
      </w:r>
      <w:r w:rsidR="00C65EAA">
        <w:rPr>
          <w:rFonts w:ascii="Arial" w:hAnsi="Arial" w:cs="Arial"/>
          <w:noProof/>
          <w:sz w:val="20"/>
          <w:szCs w:val="20"/>
        </w:rPr>
        <w:t xml:space="preserve"> -- </w:t>
      </w:r>
      <w:r w:rsidR="009407B6">
        <w:rPr>
          <w:rFonts w:ascii="Arial" w:hAnsi="Arial" w:cs="Arial"/>
          <w:noProof/>
          <w:sz w:val="20"/>
          <w:szCs w:val="20"/>
        </w:rPr>
        <w:t>from strengthening hazard forecast services to restoring natural ecosystems</w:t>
      </w:r>
      <w:r w:rsidR="00C65EAA">
        <w:rPr>
          <w:rFonts w:ascii="Arial" w:hAnsi="Arial" w:cs="Arial"/>
          <w:noProof/>
          <w:sz w:val="20"/>
          <w:szCs w:val="20"/>
        </w:rPr>
        <w:t xml:space="preserve"> -- </w:t>
      </w:r>
      <w:r w:rsidR="00BB2848">
        <w:rPr>
          <w:rFonts w:ascii="Arial" w:hAnsi="Arial" w:cs="Arial"/>
          <w:noProof/>
          <w:sz w:val="20"/>
          <w:szCs w:val="20"/>
        </w:rPr>
        <w:t>can be surprisingly cost-effective</w:t>
      </w:r>
      <w:r w:rsidR="00F17817">
        <w:rPr>
          <w:rFonts w:ascii="Arial" w:hAnsi="Arial" w:cs="Arial"/>
          <w:noProof/>
          <w:sz w:val="20"/>
          <w:szCs w:val="20"/>
        </w:rPr>
        <w:t xml:space="preserve">. </w:t>
      </w:r>
    </w:p>
    <w:p w:rsidR="00F17817" w:rsidRPr="00F67824" w:rsidRDefault="00F17817" w:rsidP="00C067E0">
      <w:pPr>
        <w:rPr>
          <w:rFonts w:ascii="Arial" w:hAnsi="Arial" w:cs="Arial"/>
          <w:noProof/>
          <w:sz w:val="20"/>
          <w:szCs w:val="20"/>
        </w:rPr>
      </w:pPr>
    </w:p>
    <w:p w:rsidR="00015C30" w:rsidRDefault="00015C30" w:rsidP="00C067E0">
      <w:pPr>
        <w:rPr>
          <w:rFonts w:ascii="Arial" w:hAnsi="Arial" w:cs="Arial"/>
          <w:i/>
          <w:noProof/>
          <w:sz w:val="20"/>
          <w:szCs w:val="20"/>
        </w:rPr>
      </w:pPr>
      <w:r w:rsidRPr="00015C30">
        <w:rPr>
          <w:rFonts w:ascii="Arial" w:hAnsi="Arial" w:cs="Arial"/>
          <w:i/>
          <w:noProof/>
          <w:sz w:val="20"/>
          <w:szCs w:val="20"/>
        </w:rPr>
        <w:t>"East Asia Pacific is the region that is most affected by cyclones, tsunamis, earthquakes and floods. To confront these disaster challenges</w:t>
      </w:r>
      <w:r w:rsidR="00C65EAA">
        <w:rPr>
          <w:rFonts w:ascii="Arial" w:hAnsi="Arial" w:cs="Arial"/>
          <w:i/>
          <w:noProof/>
          <w:sz w:val="20"/>
          <w:szCs w:val="20"/>
        </w:rPr>
        <w:t>,</w:t>
      </w:r>
      <w:r w:rsidRPr="00015C30">
        <w:rPr>
          <w:rFonts w:ascii="Arial" w:hAnsi="Arial" w:cs="Arial"/>
          <w:i/>
          <w:noProof/>
          <w:sz w:val="20"/>
          <w:szCs w:val="20"/>
        </w:rPr>
        <w:t xml:space="preserve"> governments need to be prepared for the unexpected and undertake major investments in disaster risk management and resilience</w:t>
      </w:r>
      <w:r>
        <w:rPr>
          <w:rFonts w:ascii="Arial" w:hAnsi="Arial" w:cs="Arial"/>
          <w:i/>
          <w:noProof/>
          <w:sz w:val="20"/>
          <w:szCs w:val="20"/>
        </w:rPr>
        <w:t xml:space="preserve">,” </w:t>
      </w:r>
      <w:r w:rsidRPr="00F67824">
        <w:rPr>
          <w:rFonts w:ascii="Arial" w:hAnsi="Arial" w:cs="Arial"/>
          <w:noProof/>
          <w:sz w:val="20"/>
          <w:szCs w:val="20"/>
        </w:rPr>
        <w:t xml:space="preserve">said </w:t>
      </w:r>
      <w:r w:rsidRPr="00F67824">
        <w:rPr>
          <w:rFonts w:ascii="Arial" w:hAnsi="Arial" w:cs="Arial"/>
          <w:b/>
          <w:noProof/>
          <w:sz w:val="20"/>
          <w:szCs w:val="20"/>
        </w:rPr>
        <w:t>World Bank East Asia and Pacific Vice President Axel van Trotsenburg.</w:t>
      </w:r>
      <w:r>
        <w:rPr>
          <w:rFonts w:ascii="Arial" w:hAnsi="Arial" w:cs="Arial"/>
          <w:b/>
          <w:noProof/>
          <w:sz w:val="20"/>
          <w:szCs w:val="20"/>
        </w:rPr>
        <w:t xml:space="preserve"> “</w:t>
      </w:r>
      <w:r w:rsidRPr="00015C30">
        <w:rPr>
          <w:rFonts w:ascii="Arial" w:hAnsi="Arial" w:cs="Arial"/>
          <w:i/>
          <w:noProof/>
          <w:sz w:val="20"/>
          <w:szCs w:val="20"/>
        </w:rPr>
        <w:t>In doing so, they should make disaster risk management part of poverty alleviation and sustainable development because the poor are disproportionately affected by disaste</w:t>
      </w:r>
      <w:r w:rsidR="00F753BD">
        <w:rPr>
          <w:rFonts w:ascii="Arial" w:hAnsi="Arial" w:cs="Arial"/>
          <w:i/>
          <w:noProof/>
          <w:sz w:val="20"/>
          <w:szCs w:val="20"/>
        </w:rPr>
        <w:t>r</w:t>
      </w:r>
      <w:r>
        <w:rPr>
          <w:rFonts w:ascii="Arial" w:hAnsi="Arial" w:cs="Arial"/>
          <w:i/>
          <w:noProof/>
          <w:sz w:val="20"/>
          <w:szCs w:val="20"/>
        </w:rPr>
        <w:t>s.</w:t>
      </w:r>
      <w:r w:rsidRPr="00015C30">
        <w:rPr>
          <w:rFonts w:ascii="Arial" w:hAnsi="Arial" w:cs="Arial"/>
          <w:i/>
          <w:noProof/>
          <w:sz w:val="20"/>
          <w:szCs w:val="20"/>
        </w:rPr>
        <w:t xml:space="preserve">" </w:t>
      </w:r>
    </w:p>
    <w:p w:rsidR="00015C30" w:rsidRDefault="00015C30" w:rsidP="00C067E0">
      <w:pPr>
        <w:rPr>
          <w:rFonts w:ascii="Arial" w:hAnsi="Arial" w:cs="Arial"/>
          <w:i/>
          <w:noProof/>
          <w:sz w:val="20"/>
          <w:szCs w:val="20"/>
        </w:rPr>
      </w:pPr>
    </w:p>
    <w:p w:rsidR="00C067E0" w:rsidRDefault="00C067E0" w:rsidP="00C067E0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According to the </w:t>
      </w:r>
      <w:r w:rsidRPr="00F67824">
        <w:rPr>
          <w:rFonts w:ascii="Arial" w:hAnsi="Arial" w:cs="Arial"/>
          <w:noProof/>
          <w:sz w:val="20"/>
          <w:szCs w:val="20"/>
        </w:rPr>
        <w:t>report</w:t>
      </w:r>
      <w:r>
        <w:rPr>
          <w:rFonts w:ascii="Arial" w:hAnsi="Arial" w:cs="Arial"/>
          <w:noProof/>
          <w:sz w:val="20"/>
          <w:szCs w:val="20"/>
        </w:rPr>
        <w:t xml:space="preserve">, titled </w:t>
      </w:r>
      <w:r w:rsidRPr="009407B6">
        <w:rPr>
          <w:rFonts w:ascii="Arial" w:hAnsi="Arial" w:cs="Arial"/>
          <w:b/>
          <w:noProof/>
          <w:sz w:val="20"/>
          <w:szCs w:val="20"/>
        </w:rPr>
        <w:t>“Strong, Safe and Resilient – A Strategic Policy Guide for Disaster Risk Management in the East Asia and the Pacific,”</w:t>
      </w:r>
      <w:r>
        <w:rPr>
          <w:rFonts w:ascii="Arial" w:hAnsi="Arial" w:cs="Arial"/>
          <w:noProof/>
          <w:sz w:val="20"/>
          <w:szCs w:val="20"/>
        </w:rPr>
        <w:t xml:space="preserve"> more </w:t>
      </w:r>
      <w:r w:rsidRPr="00F67824">
        <w:rPr>
          <w:rFonts w:ascii="Arial" w:hAnsi="Arial" w:cs="Arial"/>
          <w:noProof/>
          <w:sz w:val="20"/>
          <w:szCs w:val="20"/>
        </w:rPr>
        <w:t xml:space="preserve">than 1.6 billion people </w:t>
      </w:r>
      <w:r w:rsidR="009407B6">
        <w:rPr>
          <w:rFonts w:ascii="Arial" w:hAnsi="Arial" w:cs="Arial"/>
          <w:noProof/>
          <w:sz w:val="20"/>
          <w:szCs w:val="20"/>
        </w:rPr>
        <w:t xml:space="preserve">were </w:t>
      </w:r>
      <w:r w:rsidRPr="00F67824">
        <w:rPr>
          <w:rFonts w:ascii="Arial" w:hAnsi="Arial" w:cs="Arial"/>
          <w:noProof/>
          <w:sz w:val="20"/>
          <w:szCs w:val="20"/>
        </w:rPr>
        <w:t>affected by disasters in the region since 2000.</w:t>
      </w:r>
      <w:r w:rsidR="00CC72AB">
        <w:rPr>
          <w:rFonts w:ascii="Arial" w:hAnsi="Arial" w:cs="Arial"/>
          <w:noProof/>
          <w:sz w:val="20"/>
          <w:szCs w:val="20"/>
        </w:rPr>
        <w:t xml:space="preserve"> In the past 20 years, 61% of global losses from disasters w</w:t>
      </w:r>
      <w:r w:rsidR="00555CF5">
        <w:rPr>
          <w:rFonts w:ascii="Arial" w:hAnsi="Arial" w:cs="Arial"/>
          <w:noProof/>
          <w:sz w:val="20"/>
          <w:szCs w:val="20"/>
        </w:rPr>
        <w:t xml:space="preserve">ere </w:t>
      </w:r>
      <w:r w:rsidR="00CC72AB">
        <w:rPr>
          <w:rFonts w:ascii="Arial" w:hAnsi="Arial" w:cs="Arial"/>
          <w:noProof/>
          <w:sz w:val="20"/>
          <w:szCs w:val="20"/>
        </w:rPr>
        <w:t xml:space="preserve">sustained by the region. </w:t>
      </w:r>
      <w:r w:rsidR="005D056E">
        <w:rPr>
          <w:rFonts w:ascii="Arial" w:hAnsi="Arial" w:cs="Arial"/>
          <w:noProof/>
          <w:sz w:val="20"/>
          <w:szCs w:val="20"/>
        </w:rPr>
        <w:t>Globally, e</w:t>
      </w:r>
      <w:r w:rsidRPr="00F67824">
        <w:rPr>
          <w:rFonts w:ascii="Arial" w:hAnsi="Arial" w:cs="Arial"/>
          <w:noProof/>
          <w:sz w:val="20"/>
          <w:szCs w:val="20"/>
        </w:rPr>
        <w:t>conomic losses  from disasters have been increasing at a quickening pace, with costs 15 times higher in the 1990’s than in the 1950’s</w:t>
      </w:r>
      <w:r w:rsidR="00D55B17">
        <w:rPr>
          <w:rFonts w:ascii="Arial" w:hAnsi="Arial" w:cs="Arial"/>
          <w:noProof/>
          <w:sz w:val="20"/>
          <w:szCs w:val="20"/>
        </w:rPr>
        <w:t>, and t</w:t>
      </w:r>
      <w:r w:rsidRPr="006A4E4B">
        <w:rPr>
          <w:rFonts w:ascii="Arial" w:hAnsi="Arial" w:cs="Arial"/>
          <w:noProof/>
          <w:sz w:val="20"/>
          <w:szCs w:val="20"/>
        </w:rPr>
        <w:t>he year 2011 was the costliest on record</w:t>
      </w:r>
      <w:r w:rsidR="004648BF" w:rsidRPr="00CC72AB">
        <w:rPr>
          <w:rFonts w:ascii="Arial" w:hAnsi="Arial" w:cs="Arial"/>
          <w:noProof/>
          <w:sz w:val="20"/>
          <w:szCs w:val="20"/>
        </w:rPr>
        <w:t>.</w:t>
      </w:r>
      <w:r w:rsidR="00D55B17" w:rsidRPr="00CC72AB">
        <w:rPr>
          <w:rFonts w:ascii="Arial" w:hAnsi="Arial" w:cs="Arial"/>
          <w:noProof/>
          <w:sz w:val="20"/>
          <w:szCs w:val="20"/>
        </w:rPr>
        <w:t xml:space="preserve"> </w:t>
      </w:r>
      <w:r w:rsidRPr="00F67824">
        <w:rPr>
          <w:rFonts w:ascii="Arial" w:hAnsi="Arial" w:cs="Arial"/>
          <w:noProof/>
          <w:sz w:val="20"/>
          <w:szCs w:val="20"/>
        </w:rPr>
        <w:t>In relative terms, the Pacific Island countries are the most affected</w:t>
      </w:r>
      <w:r w:rsidR="00C65EAA">
        <w:rPr>
          <w:rFonts w:ascii="Arial" w:hAnsi="Arial" w:cs="Arial"/>
          <w:noProof/>
          <w:sz w:val="20"/>
          <w:szCs w:val="20"/>
        </w:rPr>
        <w:t xml:space="preserve"> in the world, </w:t>
      </w:r>
      <w:r w:rsidRPr="00F67824">
        <w:rPr>
          <w:rFonts w:ascii="Arial" w:hAnsi="Arial" w:cs="Arial"/>
          <w:noProof/>
          <w:sz w:val="20"/>
          <w:szCs w:val="20"/>
        </w:rPr>
        <w:t xml:space="preserve"> with average annualized losses estimated for Vanuatu and Tonga at 6.6% and 4.4% of GDP respectively.</w:t>
      </w:r>
    </w:p>
    <w:p w:rsidR="00C067E0" w:rsidRPr="00F67824" w:rsidRDefault="00C067E0" w:rsidP="00C067E0">
      <w:pPr>
        <w:rPr>
          <w:rFonts w:ascii="Arial" w:hAnsi="Arial" w:cs="Arial"/>
          <w:noProof/>
          <w:sz w:val="20"/>
          <w:szCs w:val="20"/>
        </w:rPr>
      </w:pPr>
    </w:p>
    <w:p w:rsidR="00C067E0" w:rsidRDefault="00C067E0" w:rsidP="00C067E0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</w:t>
      </w:r>
      <w:r w:rsidRPr="00F67824">
        <w:rPr>
          <w:rFonts w:ascii="Arial" w:hAnsi="Arial" w:cs="Arial"/>
          <w:noProof/>
          <w:sz w:val="20"/>
          <w:szCs w:val="20"/>
        </w:rPr>
        <w:t xml:space="preserve">riven by rapid economic growth and urbanization, with </w:t>
      </w:r>
      <w:r w:rsidR="009407B6">
        <w:rPr>
          <w:rFonts w:ascii="Arial" w:hAnsi="Arial" w:cs="Arial"/>
          <w:noProof/>
          <w:sz w:val="20"/>
          <w:szCs w:val="20"/>
        </w:rPr>
        <w:t xml:space="preserve">a greater concentration of </w:t>
      </w:r>
      <w:r w:rsidRPr="00F67824">
        <w:rPr>
          <w:rFonts w:ascii="Arial" w:hAnsi="Arial" w:cs="Arial"/>
          <w:noProof/>
          <w:sz w:val="20"/>
          <w:szCs w:val="20"/>
        </w:rPr>
        <w:t>people and assets in cities</w:t>
      </w:r>
      <w:r>
        <w:rPr>
          <w:rFonts w:ascii="Arial" w:hAnsi="Arial" w:cs="Arial"/>
          <w:noProof/>
          <w:sz w:val="20"/>
          <w:szCs w:val="20"/>
        </w:rPr>
        <w:t>, this trend is expected to continue</w:t>
      </w:r>
      <w:r w:rsidRPr="00F67824">
        <w:rPr>
          <w:rFonts w:ascii="Arial" w:hAnsi="Arial" w:cs="Arial"/>
          <w:noProof/>
          <w:sz w:val="20"/>
          <w:szCs w:val="20"/>
        </w:rPr>
        <w:t xml:space="preserve">. Unplanned or poorly planned urbanization </w:t>
      </w:r>
      <w:r w:rsidR="00BB2848">
        <w:rPr>
          <w:rFonts w:ascii="Arial" w:hAnsi="Arial" w:cs="Arial"/>
          <w:noProof/>
          <w:sz w:val="20"/>
          <w:szCs w:val="20"/>
        </w:rPr>
        <w:t xml:space="preserve">puts </w:t>
      </w:r>
      <w:r w:rsidRPr="00F67824">
        <w:rPr>
          <w:rFonts w:ascii="Arial" w:hAnsi="Arial" w:cs="Arial"/>
          <w:noProof/>
          <w:sz w:val="20"/>
          <w:szCs w:val="20"/>
        </w:rPr>
        <w:t>communities</w:t>
      </w:r>
      <w:r w:rsidR="00BB2848">
        <w:rPr>
          <w:rFonts w:ascii="Arial" w:hAnsi="Arial" w:cs="Arial"/>
          <w:noProof/>
          <w:sz w:val="20"/>
          <w:szCs w:val="20"/>
        </w:rPr>
        <w:t xml:space="preserve"> at risk</w:t>
      </w:r>
      <w:r w:rsidRPr="00F67824">
        <w:rPr>
          <w:rFonts w:ascii="Arial" w:hAnsi="Arial" w:cs="Arial"/>
          <w:noProof/>
          <w:sz w:val="20"/>
          <w:szCs w:val="20"/>
        </w:rPr>
        <w:t xml:space="preserve">, particularly through informal settlements and inadequate land management. </w:t>
      </w:r>
      <w:r w:rsidR="00BB2848">
        <w:rPr>
          <w:rFonts w:ascii="Arial" w:hAnsi="Arial" w:cs="Arial"/>
          <w:noProof/>
          <w:sz w:val="20"/>
          <w:szCs w:val="20"/>
        </w:rPr>
        <w:t>A</w:t>
      </w:r>
      <w:r w:rsidR="00BB2848" w:rsidRPr="00F67824">
        <w:rPr>
          <w:rFonts w:ascii="Arial" w:hAnsi="Arial" w:cs="Arial"/>
          <w:noProof/>
          <w:sz w:val="20"/>
          <w:szCs w:val="20"/>
        </w:rPr>
        <w:t xml:space="preserve">s Asia </w:t>
      </w:r>
      <w:r w:rsidR="00BB2848">
        <w:rPr>
          <w:rFonts w:ascii="Arial" w:hAnsi="Arial" w:cs="Arial"/>
          <w:noProof/>
          <w:sz w:val="20"/>
          <w:szCs w:val="20"/>
        </w:rPr>
        <w:t xml:space="preserve">is set to house </w:t>
      </w:r>
      <w:r w:rsidR="00BB2848" w:rsidRPr="00F67824">
        <w:rPr>
          <w:rFonts w:ascii="Arial" w:hAnsi="Arial" w:cs="Arial"/>
          <w:noProof/>
          <w:sz w:val="20"/>
          <w:szCs w:val="20"/>
        </w:rPr>
        <w:t>21 of 37 global megacities by 2025</w:t>
      </w:r>
      <w:r w:rsidR="00BB2848">
        <w:rPr>
          <w:rFonts w:ascii="Arial" w:hAnsi="Arial" w:cs="Arial"/>
          <w:noProof/>
          <w:sz w:val="20"/>
          <w:szCs w:val="20"/>
        </w:rPr>
        <w:t>, m</w:t>
      </w:r>
      <w:r w:rsidRPr="00F67824">
        <w:rPr>
          <w:rFonts w:ascii="Arial" w:hAnsi="Arial" w:cs="Arial"/>
          <w:noProof/>
          <w:sz w:val="20"/>
          <w:szCs w:val="20"/>
        </w:rPr>
        <w:t>ulti-billion dollar disasters may become more common,.</w:t>
      </w:r>
      <w:r>
        <w:rPr>
          <w:rFonts w:ascii="Arial" w:hAnsi="Arial" w:cs="Arial"/>
          <w:noProof/>
          <w:sz w:val="20"/>
          <w:szCs w:val="20"/>
        </w:rPr>
        <w:t xml:space="preserve"> </w:t>
      </w:r>
    </w:p>
    <w:p w:rsidR="00C067E0" w:rsidRDefault="00C067E0" w:rsidP="00C067E0">
      <w:pPr>
        <w:rPr>
          <w:rFonts w:ascii="Arial" w:hAnsi="Arial" w:cs="Arial"/>
          <w:noProof/>
          <w:sz w:val="20"/>
          <w:szCs w:val="20"/>
        </w:rPr>
      </w:pPr>
    </w:p>
    <w:p w:rsidR="00C067E0" w:rsidRDefault="00C067E0" w:rsidP="00C067E0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</w:t>
      </w:r>
      <w:r w:rsidRPr="00F67824">
        <w:rPr>
          <w:rFonts w:ascii="Arial" w:hAnsi="Arial" w:cs="Arial"/>
          <w:noProof/>
          <w:sz w:val="20"/>
          <w:szCs w:val="20"/>
        </w:rPr>
        <w:t xml:space="preserve">eveloping countries in the region will be exposed to large fiscal impacts on public expenditure, as governments shoulder an increasing financial responsibity for post-disaster recovery and reconstruction. In the Solomon Islands, the earthquake and tsunami of 2007 caused losses estimated at 95% of the national budget. Cambodia, Lao </w:t>
      </w:r>
      <w:r w:rsidR="009407B6">
        <w:rPr>
          <w:rFonts w:ascii="Arial" w:hAnsi="Arial" w:cs="Arial"/>
          <w:noProof/>
          <w:sz w:val="20"/>
          <w:szCs w:val="20"/>
        </w:rPr>
        <w:t xml:space="preserve">PDR </w:t>
      </w:r>
      <w:r w:rsidRPr="00F67824">
        <w:rPr>
          <w:rFonts w:ascii="Arial" w:hAnsi="Arial" w:cs="Arial"/>
          <w:noProof/>
          <w:sz w:val="20"/>
          <w:szCs w:val="20"/>
        </w:rPr>
        <w:t xml:space="preserve">and the Philippines could face costs totaling 18% or more of total public expenditure in the event of a 200-year disaster. </w:t>
      </w:r>
      <w:r w:rsidR="00F17817">
        <w:rPr>
          <w:rFonts w:ascii="Arial" w:hAnsi="Arial" w:cs="Arial"/>
          <w:noProof/>
          <w:sz w:val="20"/>
          <w:szCs w:val="20"/>
        </w:rPr>
        <w:t>T</w:t>
      </w:r>
      <w:r w:rsidR="00F17817" w:rsidRPr="00F67824">
        <w:rPr>
          <w:rFonts w:ascii="Arial" w:hAnsi="Arial" w:cs="Arial"/>
          <w:noProof/>
          <w:sz w:val="20"/>
          <w:szCs w:val="20"/>
        </w:rPr>
        <w:t>he urbanization of disasters, with frequent flooding, rising complexity, a</w:t>
      </w:r>
      <w:r w:rsidR="009407B6">
        <w:rPr>
          <w:rFonts w:ascii="Arial" w:hAnsi="Arial" w:cs="Arial"/>
          <w:noProof/>
          <w:sz w:val="20"/>
          <w:szCs w:val="20"/>
        </w:rPr>
        <w:t xml:space="preserve">nd </w:t>
      </w:r>
      <w:r w:rsidR="00F17817" w:rsidRPr="00F67824">
        <w:rPr>
          <w:rFonts w:ascii="Arial" w:hAnsi="Arial" w:cs="Arial"/>
          <w:noProof/>
          <w:sz w:val="20"/>
          <w:szCs w:val="20"/>
        </w:rPr>
        <w:t>greater cross-regional impacts</w:t>
      </w:r>
      <w:r w:rsidR="00F17817">
        <w:rPr>
          <w:rFonts w:ascii="Arial" w:hAnsi="Arial" w:cs="Arial"/>
          <w:noProof/>
          <w:sz w:val="20"/>
          <w:szCs w:val="20"/>
        </w:rPr>
        <w:t>, calls for urgent action.</w:t>
      </w:r>
    </w:p>
    <w:p w:rsidR="00C067E0" w:rsidRPr="00F67824" w:rsidRDefault="00C067E0" w:rsidP="00C067E0">
      <w:pPr>
        <w:rPr>
          <w:rFonts w:ascii="Arial" w:hAnsi="Arial" w:cs="Arial"/>
          <w:noProof/>
          <w:sz w:val="20"/>
          <w:szCs w:val="20"/>
        </w:rPr>
      </w:pPr>
    </w:p>
    <w:p w:rsidR="00C067E0" w:rsidRDefault="00C067E0" w:rsidP="00C067E0">
      <w:pPr>
        <w:rPr>
          <w:rFonts w:ascii="Arial" w:hAnsi="Arial" w:cs="Arial"/>
          <w:i/>
          <w:noProof/>
          <w:sz w:val="20"/>
          <w:szCs w:val="20"/>
        </w:rPr>
      </w:pPr>
      <w:r w:rsidRPr="00F67824">
        <w:rPr>
          <w:rFonts w:ascii="Arial" w:hAnsi="Arial" w:cs="Arial"/>
          <w:i/>
          <w:noProof/>
          <w:sz w:val="20"/>
          <w:szCs w:val="20"/>
        </w:rPr>
        <w:t xml:space="preserve">“We are working with governments and partners </w:t>
      </w:r>
      <w:r w:rsidR="00C65EAA">
        <w:rPr>
          <w:rFonts w:ascii="Arial" w:hAnsi="Arial" w:cs="Arial"/>
          <w:i/>
          <w:noProof/>
          <w:sz w:val="20"/>
          <w:szCs w:val="20"/>
        </w:rPr>
        <w:t xml:space="preserve">to strengthen </w:t>
      </w:r>
      <w:r w:rsidRPr="00F67824">
        <w:rPr>
          <w:rFonts w:ascii="Arial" w:hAnsi="Arial" w:cs="Arial"/>
          <w:i/>
          <w:noProof/>
          <w:sz w:val="20"/>
          <w:szCs w:val="20"/>
        </w:rPr>
        <w:t>financial resilience against disasters,”</w:t>
      </w:r>
      <w:r w:rsidRPr="00F67824">
        <w:rPr>
          <w:rFonts w:ascii="Arial" w:hAnsi="Arial" w:cs="Arial"/>
          <w:noProof/>
          <w:sz w:val="20"/>
          <w:szCs w:val="20"/>
        </w:rPr>
        <w:t xml:space="preserve"> said </w:t>
      </w:r>
      <w:r w:rsidRPr="00F67824">
        <w:rPr>
          <w:rFonts w:ascii="Arial" w:hAnsi="Arial" w:cs="Arial"/>
          <w:b/>
          <w:noProof/>
          <w:sz w:val="20"/>
          <w:szCs w:val="20"/>
        </w:rPr>
        <w:t>World Bank East Asia and Pacific Chief Economist Bert Hofman</w:t>
      </w:r>
      <w:r w:rsidRPr="00F67824">
        <w:rPr>
          <w:rFonts w:ascii="Arial" w:hAnsi="Arial" w:cs="Arial"/>
          <w:i/>
          <w:noProof/>
          <w:sz w:val="20"/>
          <w:szCs w:val="20"/>
        </w:rPr>
        <w:t xml:space="preserve">. “More needs to be done to improve catastrophe risk modeling tools to help governments assess budgetary impacts of disasters, and to  develop disaster risk financing strategies.” </w:t>
      </w:r>
    </w:p>
    <w:p w:rsidR="00C067E0" w:rsidRPr="00F67824" w:rsidRDefault="00C067E0" w:rsidP="00C067E0">
      <w:pPr>
        <w:rPr>
          <w:rFonts w:ascii="Arial" w:hAnsi="Arial" w:cs="Arial"/>
          <w:i/>
          <w:noProof/>
          <w:sz w:val="20"/>
          <w:szCs w:val="20"/>
        </w:rPr>
      </w:pPr>
    </w:p>
    <w:p w:rsidR="00C067E0" w:rsidRDefault="00C067E0" w:rsidP="00C067E0">
      <w:pPr>
        <w:rPr>
          <w:rFonts w:ascii="Arial" w:hAnsi="Arial" w:cs="Arial"/>
          <w:noProof/>
          <w:sz w:val="20"/>
          <w:szCs w:val="20"/>
        </w:rPr>
      </w:pPr>
      <w:r w:rsidRPr="00F67824">
        <w:rPr>
          <w:rFonts w:ascii="Arial" w:hAnsi="Arial" w:cs="Arial"/>
          <w:noProof/>
          <w:sz w:val="20"/>
          <w:szCs w:val="20"/>
        </w:rPr>
        <w:lastRenderedPageBreak/>
        <w:t xml:space="preserve">What is not necessarily well known is that investing in risk reduction and emergency preparedness can be extremely cost-effective, greatly reducing the impact of natural hazards. </w:t>
      </w:r>
    </w:p>
    <w:p w:rsidR="00C067E0" w:rsidRPr="00F67824" w:rsidRDefault="00C067E0" w:rsidP="00C067E0">
      <w:pPr>
        <w:rPr>
          <w:rFonts w:ascii="Arial" w:hAnsi="Arial" w:cs="Arial"/>
          <w:noProof/>
          <w:sz w:val="20"/>
          <w:szCs w:val="20"/>
        </w:rPr>
      </w:pPr>
      <w:r w:rsidRPr="00F67824">
        <w:rPr>
          <w:rFonts w:ascii="Arial" w:hAnsi="Arial" w:cs="Arial"/>
          <w:noProof/>
          <w:sz w:val="20"/>
          <w:szCs w:val="20"/>
        </w:rPr>
        <w:t xml:space="preserve"> </w:t>
      </w:r>
    </w:p>
    <w:p w:rsidR="00C067E0" w:rsidRDefault="00C067E0" w:rsidP="000E10F9">
      <w:pPr>
        <w:rPr>
          <w:rFonts w:ascii="Arial" w:hAnsi="Arial" w:cs="Arial"/>
          <w:noProof/>
          <w:sz w:val="20"/>
          <w:szCs w:val="20"/>
        </w:rPr>
      </w:pPr>
      <w:r w:rsidRPr="00C067E0">
        <w:rPr>
          <w:rFonts w:ascii="Arial" w:hAnsi="Arial" w:cs="Arial"/>
          <w:noProof/>
          <w:sz w:val="20"/>
          <w:szCs w:val="20"/>
          <w:u w:val="single"/>
        </w:rPr>
        <w:t>In the short-term</w:t>
      </w:r>
      <w:r w:rsidRPr="00F67824">
        <w:rPr>
          <w:rFonts w:ascii="Arial" w:hAnsi="Arial" w:cs="Arial"/>
          <w:noProof/>
          <w:sz w:val="20"/>
          <w:szCs w:val="20"/>
        </w:rPr>
        <w:t xml:space="preserve">, investing in hazard forecasting and hydrometeorological early warning systems can have a high cost-benefit ratio with immediate and significant payoffs.  Strengthening legislation and promoting institutional coordination, promoting disaster risk reduction in community-based development programs are also beneficial. </w:t>
      </w:r>
    </w:p>
    <w:p w:rsidR="00C067E0" w:rsidRPr="00F67824" w:rsidRDefault="00C067E0" w:rsidP="000E10F9">
      <w:pPr>
        <w:rPr>
          <w:rFonts w:ascii="Arial" w:hAnsi="Arial" w:cs="Arial"/>
          <w:noProof/>
          <w:sz w:val="20"/>
          <w:szCs w:val="20"/>
        </w:rPr>
      </w:pPr>
    </w:p>
    <w:p w:rsidR="00C067E0" w:rsidRDefault="00C067E0" w:rsidP="000E10F9">
      <w:pPr>
        <w:rPr>
          <w:rFonts w:ascii="Arial" w:hAnsi="Arial" w:cs="Arial"/>
          <w:noProof/>
          <w:sz w:val="20"/>
          <w:szCs w:val="20"/>
        </w:rPr>
      </w:pPr>
      <w:r w:rsidRPr="00C067E0">
        <w:rPr>
          <w:rFonts w:ascii="Arial" w:hAnsi="Arial" w:cs="Arial"/>
          <w:noProof/>
          <w:sz w:val="20"/>
          <w:szCs w:val="20"/>
          <w:u w:val="single"/>
        </w:rPr>
        <w:t>In the medium- to long-term</w:t>
      </w:r>
      <w:r w:rsidRPr="00F67824">
        <w:rPr>
          <w:rFonts w:ascii="Arial" w:hAnsi="Arial" w:cs="Arial"/>
          <w:noProof/>
          <w:sz w:val="20"/>
          <w:szCs w:val="20"/>
        </w:rPr>
        <w:t>, striking the right balance between investments in structural and non-structural measures is key. This includes “gray” concrete and cost-effective “green” infrastructure, such as establishing mangroves</w:t>
      </w:r>
      <w:r w:rsidR="00F17817">
        <w:rPr>
          <w:rFonts w:ascii="Arial" w:hAnsi="Arial" w:cs="Arial"/>
          <w:noProof/>
          <w:sz w:val="20"/>
          <w:szCs w:val="20"/>
        </w:rPr>
        <w:t xml:space="preserve">, </w:t>
      </w:r>
      <w:r w:rsidRPr="00F67824">
        <w:rPr>
          <w:rFonts w:ascii="Arial" w:hAnsi="Arial" w:cs="Arial"/>
          <w:noProof/>
          <w:sz w:val="20"/>
          <w:szCs w:val="20"/>
        </w:rPr>
        <w:t>wetland buffers and coastal restoration. Expanding early warning systems based on real-time data and forecasting is also important</w:t>
      </w:r>
      <w:r w:rsidR="00F17817">
        <w:rPr>
          <w:rFonts w:ascii="Arial" w:hAnsi="Arial" w:cs="Arial"/>
          <w:noProof/>
          <w:sz w:val="20"/>
          <w:szCs w:val="20"/>
        </w:rPr>
        <w:t>, as well as d</w:t>
      </w:r>
      <w:r w:rsidRPr="00F67824">
        <w:rPr>
          <w:rFonts w:ascii="Arial" w:hAnsi="Arial" w:cs="Arial"/>
          <w:noProof/>
          <w:sz w:val="20"/>
          <w:szCs w:val="20"/>
        </w:rPr>
        <w:t>eveloping a comprehensive disaster risk-financing st</w:t>
      </w:r>
      <w:r w:rsidR="00F17817">
        <w:rPr>
          <w:rFonts w:ascii="Arial" w:hAnsi="Arial" w:cs="Arial"/>
          <w:noProof/>
          <w:sz w:val="20"/>
          <w:szCs w:val="20"/>
        </w:rPr>
        <w:t>r</w:t>
      </w:r>
      <w:r w:rsidRPr="00F67824">
        <w:rPr>
          <w:rFonts w:ascii="Arial" w:hAnsi="Arial" w:cs="Arial"/>
          <w:noProof/>
          <w:sz w:val="20"/>
          <w:szCs w:val="20"/>
        </w:rPr>
        <w:t>at</w:t>
      </w:r>
      <w:r w:rsidR="00F17817">
        <w:rPr>
          <w:rFonts w:ascii="Arial" w:hAnsi="Arial" w:cs="Arial"/>
          <w:noProof/>
          <w:sz w:val="20"/>
          <w:szCs w:val="20"/>
        </w:rPr>
        <w:t>e</w:t>
      </w:r>
      <w:r w:rsidRPr="00F67824">
        <w:rPr>
          <w:rFonts w:ascii="Arial" w:hAnsi="Arial" w:cs="Arial"/>
          <w:noProof/>
          <w:sz w:val="20"/>
          <w:szCs w:val="20"/>
        </w:rPr>
        <w:t>gy, and social protection systems that can be scaled up in the event of a disaster</w:t>
      </w:r>
      <w:r w:rsidR="00F17817">
        <w:rPr>
          <w:rFonts w:ascii="Arial" w:hAnsi="Arial" w:cs="Arial"/>
          <w:noProof/>
          <w:sz w:val="20"/>
          <w:szCs w:val="20"/>
        </w:rPr>
        <w:t xml:space="preserve">. </w:t>
      </w:r>
    </w:p>
    <w:p w:rsidR="00C067E0" w:rsidRPr="00F67824" w:rsidRDefault="00C067E0" w:rsidP="000E10F9">
      <w:pPr>
        <w:rPr>
          <w:rFonts w:ascii="Arial" w:hAnsi="Arial" w:cs="Arial"/>
          <w:noProof/>
          <w:sz w:val="20"/>
          <w:szCs w:val="20"/>
        </w:rPr>
      </w:pPr>
    </w:p>
    <w:p w:rsidR="00C067E0" w:rsidRDefault="00C067E0" w:rsidP="000E10F9">
      <w:pPr>
        <w:rPr>
          <w:rFonts w:ascii="Arial" w:hAnsi="Arial" w:cs="Arial"/>
          <w:noProof/>
          <w:sz w:val="20"/>
          <w:szCs w:val="20"/>
        </w:rPr>
      </w:pPr>
      <w:r w:rsidRPr="00C067E0">
        <w:rPr>
          <w:rFonts w:ascii="Arial" w:hAnsi="Arial" w:cs="Arial"/>
          <w:noProof/>
          <w:sz w:val="20"/>
          <w:szCs w:val="20"/>
          <w:u w:val="single"/>
        </w:rPr>
        <w:t>In the long-term</w:t>
      </w:r>
      <w:r w:rsidRPr="00F67824">
        <w:rPr>
          <w:rFonts w:ascii="Arial" w:hAnsi="Arial" w:cs="Arial"/>
          <w:noProof/>
          <w:sz w:val="20"/>
          <w:szCs w:val="20"/>
        </w:rPr>
        <w:t xml:space="preserve">, urbanization should be managed through systematic use of risk assessments, risk-aware urban planning and development, and robust decisions that take into account disaster and climate risks and uncertainties.  </w:t>
      </w:r>
    </w:p>
    <w:p w:rsidR="00C067E0" w:rsidRPr="00F67824" w:rsidRDefault="00C067E0" w:rsidP="00C067E0">
      <w:pPr>
        <w:rPr>
          <w:rFonts w:ascii="Arial" w:hAnsi="Arial" w:cs="Arial"/>
          <w:noProof/>
          <w:sz w:val="20"/>
          <w:szCs w:val="20"/>
        </w:rPr>
      </w:pPr>
    </w:p>
    <w:p w:rsidR="004C03A0" w:rsidRDefault="00C067E0" w:rsidP="00C067E0">
      <w:pPr>
        <w:rPr>
          <w:rFonts w:ascii="Arial" w:hAnsi="Arial" w:cs="Arial"/>
          <w:i/>
          <w:noProof/>
          <w:sz w:val="20"/>
          <w:szCs w:val="20"/>
        </w:rPr>
      </w:pPr>
      <w:r w:rsidRPr="00F67824">
        <w:rPr>
          <w:rFonts w:ascii="Arial" w:hAnsi="Arial" w:cs="Arial"/>
          <w:i/>
          <w:noProof/>
          <w:sz w:val="20"/>
          <w:szCs w:val="20"/>
        </w:rPr>
        <w:t>“Every natural hazard doesn’t have to turn into a disaster. With better planning and coordination, urbanization can be channeled as a tremendously positive force for development, providing an opportunity to address the needs of the urban poor  who face some of the highest risks,”</w:t>
      </w:r>
      <w:r w:rsidRPr="00F67824">
        <w:rPr>
          <w:rFonts w:ascii="Arial" w:hAnsi="Arial" w:cs="Arial"/>
          <w:noProof/>
          <w:sz w:val="20"/>
          <w:szCs w:val="20"/>
        </w:rPr>
        <w:t xml:space="preserve"> said </w:t>
      </w:r>
      <w:r w:rsidRPr="00F67824">
        <w:rPr>
          <w:rFonts w:ascii="Arial" w:hAnsi="Arial" w:cs="Arial"/>
          <w:b/>
          <w:noProof/>
          <w:sz w:val="20"/>
          <w:szCs w:val="20"/>
        </w:rPr>
        <w:t>Abhas Jha, Sector Manager for Transport, Urban, and Disaster Risk Management in East Asia and Pacific, and lead author of the report.</w:t>
      </w:r>
      <w:r w:rsidRPr="00F67824">
        <w:rPr>
          <w:rFonts w:ascii="Arial" w:hAnsi="Arial" w:cs="Arial"/>
          <w:noProof/>
          <w:sz w:val="20"/>
          <w:szCs w:val="20"/>
        </w:rPr>
        <w:t xml:space="preserve"> </w:t>
      </w:r>
      <w:r w:rsidRPr="00F67824">
        <w:rPr>
          <w:rFonts w:ascii="Arial" w:hAnsi="Arial" w:cs="Arial"/>
          <w:i/>
          <w:noProof/>
          <w:sz w:val="20"/>
          <w:szCs w:val="20"/>
        </w:rPr>
        <w:t>“Disaster risk management needs to be part of core povery reduction and</w:t>
      </w:r>
      <w:r w:rsidR="00F17817">
        <w:rPr>
          <w:rFonts w:ascii="Arial" w:hAnsi="Arial" w:cs="Arial"/>
          <w:i/>
          <w:noProof/>
          <w:sz w:val="20"/>
          <w:szCs w:val="20"/>
        </w:rPr>
        <w:t xml:space="preserve"> sustainable development efforts</w:t>
      </w:r>
      <w:r w:rsidRPr="00F67824">
        <w:rPr>
          <w:rFonts w:ascii="Arial" w:hAnsi="Arial" w:cs="Arial"/>
          <w:i/>
          <w:noProof/>
          <w:sz w:val="20"/>
          <w:szCs w:val="20"/>
        </w:rPr>
        <w:t>.”</w:t>
      </w:r>
    </w:p>
    <w:p w:rsidR="004C03A0" w:rsidRDefault="004C03A0" w:rsidP="00C067E0">
      <w:pPr>
        <w:rPr>
          <w:rFonts w:ascii="Arial" w:hAnsi="Arial" w:cs="Arial"/>
          <w:i/>
          <w:noProof/>
          <w:sz w:val="20"/>
          <w:szCs w:val="20"/>
        </w:rPr>
      </w:pPr>
    </w:p>
    <w:p w:rsidR="004C03A0" w:rsidRDefault="004C03A0" w:rsidP="00C067E0">
      <w:pPr>
        <w:rPr>
          <w:rFonts w:ascii="Arial" w:hAnsi="Arial" w:cs="Arial"/>
          <w:i/>
          <w:noProof/>
          <w:sz w:val="20"/>
          <w:szCs w:val="20"/>
        </w:rPr>
      </w:pPr>
    </w:p>
    <w:p w:rsidR="00C65EAA" w:rsidRDefault="00C65EAA" w:rsidP="00C067E0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For more information, visit:</w:t>
      </w:r>
    </w:p>
    <w:p w:rsidR="00C65EAA" w:rsidRDefault="00C86C4F" w:rsidP="00C067E0">
      <w:pPr>
        <w:rPr>
          <w:rFonts w:ascii="Arial" w:hAnsi="Arial" w:cs="Arial"/>
          <w:noProof/>
          <w:sz w:val="20"/>
          <w:szCs w:val="20"/>
        </w:rPr>
      </w:pPr>
      <w:hyperlink r:id="rId9" w:history="1">
        <w:r w:rsidR="00C65EAA" w:rsidRPr="001B60C0">
          <w:rPr>
            <w:rStyle w:val="Hyperlink"/>
            <w:rFonts w:ascii="Arial" w:hAnsi="Arial" w:cs="Arial"/>
            <w:noProof/>
            <w:sz w:val="20"/>
            <w:szCs w:val="20"/>
          </w:rPr>
          <w:t>http://www.worldbank.org/eap</w:t>
        </w:r>
      </w:hyperlink>
    </w:p>
    <w:p w:rsidR="00C65EAA" w:rsidRDefault="00C65EAA" w:rsidP="00C067E0">
      <w:pPr>
        <w:rPr>
          <w:rFonts w:ascii="Arial" w:hAnsi="Arial" w:cs="Arial"/>
          <w:noProof/>
          <w:sz w:val="20"/>
          <w:szCs w:val="20"/>
        </w:rPr>
      </w:pPr>
    </w:p>
    <w:p w:rsidR="00DB323D" w:rsidRDefault="00DB323D" w:rsidP="00C067E0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</w:t>
      </w:r>
      <w:r w:rsidR="004C03A0" w:rsidRPr="004C03A0">
        <w:rPr>
          <w:rFonts w:ascii="Arial" w:hAnsi="Arial" w:cs="Arial"/>
          <w:noProof/>
          <w:sz w:val="20"/>
          <w:szCs w:val="20"/>
        </w:rPr>
        <w:t>ownload the report at</w:t>
      </w:r>
      <w:r>
        <w:rPr>
          <w:rFonts w:ascii="Arial" w:hAnsi="Arial" w:cs="Arial"/>
          <w:noProof/>
          <w:sz w:val="20"/>
          <w:szCs w:val="20"/>
        </w:rPr>
        <w:t>:</w:t>
      </w:r>
    </w:p>
    <w:p w:rsidR="004C03A0" w:rsidRDefault="00C86C4F" w:rsidP="00C067E0">
      <w:pPr>
        <w:rPr>
          <w:rFonts w:ascii="Arial" w:hAnsi="Arial" w:cs="Arial"/>
          <w:noProof/>
          <w:sz w:val="20"/>
          <w:szCs w:val="20"/>
        </w:rPr>
      </w:pPr>
      <w:hyperlink r:id="rId10" w:history="1">
        <w:r w:rsidR="00DB323D" w:rsidRPr="00A46E9F">
          <w:rPr>
            <w:rStyle w:val="Hyperlink"/>
            <w:rFonts w:ascii="Arial" w:hAnsi="Arial" w:cs="Arial"/>
            <w:noProof/>
            <w:sz w:val="20"/>
            <w:szCs w:val="20"/>
          </w:rPr>
          <w:t>http://www-wds.worldbank.org/external/default/WDSContentServer/WDSP/IB/2013/03/08/000333037_20130308112907/Rendered/PDF/758470PUB0EPI0001300PUBDATE02028013.pdf</w:t>
        </w:r>
      </w:hyperlink>
    </w:p>
    <w:p w:rsidR="00DB323D" w:rsidRPr="004C03A0" w:rsidRDefault="00DB323D" w:rsidP="00C067E0">
      <w:pPr>
        <w:rPr>
          <w:rFonts w:ascii="Arial" w:hAnsi="Arial" w:cs="Arial"/>
          <w:noProof/>
          <w:sz w:val="20"/>
          <w:szCs w:val="20"/>
        </w:rPr>
      </w:pPr>
    </w:p>
    <w:p w:rsidR="00A20F2C" w:rsidRPr="0022001F" w:rsidRDefault="00A20F2C" w:rsidP="00C067E0">
      <w:pPr>
        <w:ind w:right="-72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A20F2C" w:rsidRPr="00A20F2C" w:rsidRDefault="00A20F2C" w:rsidP="00A20F2C">
      <w:pPr>
        <w:ind w:right="-72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A20F2C" w:rsidRPr="00A20F2C" w:rsidRDefault="00A20F2C" w:rsidP="00A20F2C">
      <w:pPr>
        <w:ind w:right="-72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A20F2C" w:rsidRPr="00A20F2C" w:rsidRDefault="00A20F2C" w:rsidP="00A20F2C">
      <w:pPr>
        <w:ind w:right="-72"/>
        <w:rPr>
          <w:rFonts w:ascii="Arial" w:hAnsi="Arial" w:cs="Arial"/>
          <w:color w:val="000000"/>
          <w:sz w:val="20"/>
          <w:szCs w:val="20"/>
        </w:rPr>
      </w:pPr>
      <w:r w:rsidRPr="00A20F2C">
        <w:rPr>
          <w:rFonts w:ascii="Arial" w:hAnsi="Arial" w:cs="Arial"/>
          <w:b/>
          <w:bCs/>
          <w:color w:val="000000"/>
          <w:sz w:val="20"/>
          <w:szCs w:val="20"/>
        </w:rPr>
        <w:t>Contacts:</w:t>
      </w:r>
      <w:r w:rsidRPr="00A20F2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407B6" w:rsidRDefault="009407B6" w:rsidP="00A20F2C">
      <w:pPr>
        <w:ind w:right="-7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Bangkok</w:t>
      </w:r>
      <w:r w:rsidR="00A20F2C" w:rsidRPr="00A20F2C">
        <w:rPr>
          <w:rFonts w:ascii="Arial" w:hAnsi="Arial" w:cs="Arial"/>
          <w:i/>
          <w:color w:val="000000"/>
          <w:sz w:val="20"/>
          <w:szCs w:val="20"/>
        </w:rPr>
        <w:t xml:space="preserve">: </w:t>
      </w:r>
      <w:r w:rsidR="00A20F2C" w:rsidRPr="00A20F2C"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 xml:space="preserve">aul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Risley</w:t>
      </w:r>
      <w:proofErr w:type="spellEnd"/>
      <w:r w:rsidR="00A20F2C" w:rsidRPr="00A20F2C">
        <w:rPr>
          <w:rFonts w:ascii="Arial" w:hAnsi="Arial" w:cs="Arial"/>
          <w:color w:val="000000"/>
          <w:sz w:val="20"/>
          <w:szCs w:val="20"/>
        </w:rPr>
        <w:t xml:space="preserve">, </w:t>
      </w:r>
      <w:r w:rsidR="002D331E">
        <w:rPr>
          <w:rFonts w:ascii="Arial" w:hAnsi="Arial" w:cs="Arial"/>
          <w:color w:val="000000"/>
          <w:sz w:val="20"/>
          <w:szCs w:val="20"/>
        </w:rPr>
        <w:t>+66 80 781 5165</w:t>
      </w:r>
      <w:r w:rsidR="00C65EAA">
        <w:rPr>
          <w:rFonts w:ascii="Arial" w:hAnsi="Arial" w:cs="Arial"/>
          <w:color w:val="000000"/>
          <w:sz w:val="20"/>
          <w:szCs w:val="20"/>
        </w:rPr>
        <w:t>,</w:t>
      </w:r>
      <w:r w:rsidR="002D331E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1" w:history="1">
        <w:r w:rsidRPr="009C2FA3">
          <w:rPr>
            <w:rStyle w:val="Hyperlink"/>
            <w:rFonts w:ascii="Arial" w:hAnsi="Arial" w:cs="Arial"/>
            <w:sz w:val="20"/>
            <w:szCs w:val="20"/>
          </w:rPr>
          <w:t>prisley@worldbank.org</w:t>
        </w:r>
      </w:hyperlink>
    </w:p>
    <w:p w:rsidR="009407B6" w:rsidRDefault="009407B6" w:rsidP="00A20F2C">
      <w:pPr>
        <w:ind w:right="-7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Washington</w:t>
      </w:r>
      <w:r w:rsidR="00A20F2C" w:rsidRPr="00A20F2C">
        <w:rPr>
          <w:rFonts w:ascii="Arial" w:hAnsi="Arial" w:cs="Arial"/>
          <w:i/>
          <w:iCs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Diana Chung</w:t>
      </w:r>
      <w:r w:rsidR="00A20F2C" w:rsidRPr="00A20F2C">
        <w:rPr>
          <w:rFonts w:ascii="Arial" w:hAnsi="Arial" w:cs="Arial"/>
          <w:color w:val="000000"/>
          <w:sz w:val="20"/>
          <w:szCs w:val="20"/>
        </w:rPr>
        <w:t xml:space="preserve">, </w:t>
      </w:r>
      <w:r w:rsidR="002D331E">
        <w:rPr>
          <w:rFonts w:ascii="Arial" w:hAnsi="Arial" w:cs="Arial"/>
          <w:color w:val="000000"/>
          <w:sz w:val="20"/>
          <w:szCs w:val="20"/>
        </w:rPr>
        <w:t>+1 202 473 8357</w:t>
      </w:r>
      <w:r w:rsidR="00C65EAA">
        <w:rPr>
          <w:rFonts w:ascii="Arial" w:hAnsi="Arial" w:cs="Arial"/>
          <w:color w:val="000000"/>
          <w:sz w:val="20"/>
          <w:szCs w:val="20"/>
        </w:rPr>
        <w:t>,</w:t>
      </w:r>
      <w:r w:rsidR="002D331E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2" w:history="1">
        <w:r w:rsidRPr="009C2FA3">
          <w:rPr>
            <w:rStyle w:val="Hyperlink"/>
            <w:rFonts w:ascii="Arial" w:hAnsi="Arial" w:cs="Arial"/>
            <w:sz w:val="20"/>
            <w:szCs w:val="20"/>
          </w:rPr>
          <w:t>dchung</w:t>
        </w:r>
        <w:r w:rsidR="00166A75">
          <w:rPr>
            <w:rStyle w:val="Hyperlink"/>
            <w:rFonts w:ascii="Arial" w:hAnsi="Arial" w:cs="Arial"/>
            <w:sz w:val="20"/>
            <w:szCs w:val="20"/>
          </w:rPr>
          <w:t>1</w:t>
        </w:r>
        <w:r w:rsidRPr="009C2FA3">
          <w:rPr>
            <w:rStyle w:val="Hyperlink"/>
            <w:rFonts w:ascii="Arial" w:hAnsi="Arial" w:cs="Arial"/>
            <w:sz w:val="20"/>
            <w:szCs w:val="20"/>
          </w:rPr>
          <w:t>@worldbank.org</w:t>
        </w:r>
      </w:hyperlink>
    </w:p>
    <w:p w:rsidR="004C03A0" w:rsidRDefault="004C03A0" w:rsidP="00A20F2C">
      <w:pPr>
        <w:ind w:right="-72"/>
        <w:rPr>
          <w:rFonts w:ascii="Arial" w:hAnsi="Arial" w:cs="Arial"/>
          <w:iCs/>
          <w:color w:val="000000"/>
          <w:sz w:val="20"/>
          <w:szCs w:val="20"/>
        </w:rPr>
      </w:pPr>
    </w:p>
    <w:p w:rsidR="00A20F2C" w:rsidRPr="00A20F2C" w:rsidRDefault="004C03A0" w:rsidP="00A20F2C">
      <w:pPr>
        <w:ind w:right="-72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Vi</w:t>
      </w:r>
      <w:r w:rsidR="00A20F2C" w:rsidRPr="00A20F2C">
        <w:rPr>
          <w:rFonts w:ascii="Arial" w:hAnsi="Arial" w:cs="Arial"/>
          <w:iCs/>
          <w:color w:val="000000"/>
          <w:sz w:val="20"/>
          <w:szCs w:val="20"/>
        </w:rPr>
        <w:t xml:space="preserve">sit us on Facebook: </w:t>
      </w:r>
      <w:hyperlink r:id="rId13" w:history="1">
        <w:r w:rsidR="00A20F2C" w:rsidRPr="00A20F2C">
          <w:rPr>
            <w:rStyle w:val="Hyperlink"/>
            <w:rFonts w:ascii="Arial" w:hAnsi="Arial" w:cs="Arial"/>
            <w:iCs/>
            <w:sz w:val="20"/>
            <w:szCs w:val="20"/>
          </w:rPr>
          <w:t>http://www.facebook.com/worldbank</w:t>
        </w:r>
      </w:hyperlink>
    </w:p>
    <w:p w:rsidR="00A20F2C" w:rsidRPr="00A20F2C" w:rsidRDefault="00A20F2C" w:rsidP="00A20F2C">
      <w:pPr>
        <w:ind w:right="-72"/>
        <w:rPr>
          <w:rFonts w:ascii="Arial" w:hAnsi="Arial" w:cs="Arial"/>
          <w:iCs/>
          <w:color w:val="000000"/>
          <w:sz w:val="20"/>
          <w:szCs w:val="20"/>
        </w:rPr>
      </w:pPr>
      <w:r w:rsidRPr="00A20F2C">
        <w:rPr>
          <w:rFonts w:ascii="Arial" w:hAnsi="Arial" w:cs="Arial"/>
          <w:iCs/>
          <w:color w:val="000000"/>
          <w:sz w:val="20"/>
          <w:szCs w:val="20"/>
        </w:rPr>
        <w:t xml:space="preserve">Be updated via Twitter: </w:t>
      </w:r>
      <w:r w:rsidRPr="00A20F2C">
        <w:rPr>
          <w:rFonts w:ascii="Arial" w:hAnsi="Arial" w:cs="Arial"/>
          <w:iCs/>
          <w:color w:val="000000"/>
          <w:sz w:val="20"/>
          <w:szCs w:val="20"/>
          <w:u w:val="single"/>
        </w:rPr>
        <w:t>http://</w:t>
      </w:r>
      <w:hyperlink r:id="rId14" w:history="1">
        <w:r w:rsidRPr="00A20F2C">
          <w:rPr>
            <w:rStyle w:val="Hyperlink"/>
            <w:rFonts w:ascii="Arial" w:hAnsi="Arial" w:cs="Arial"/>
            <w:iCs/>
            <w:sz w:val="20"/>
            <w:szCs w:val="20"/>
          </w:rPr>
          <w:t>www.twitter.com/worldbank</w:t>
        </w:r>
      </w:hyperlink>
    </w:p>
    <w:p w:rsidR="00A20F2C" w:rsidRPr="00A20F2C" w:rsidRDefault="00A20F2C" w:rsidP="00A20F2C">
      <w:pPr>
        <w:ind w:right="-72"/>
        <w:rPr>
          <w:rFonts w:ascii="Arial" w:hAnsi="Arial" w:cs="Arial"/>
          <w:iCs/>
          <w:color w:val="000000"/>
          <w:sz w:val="20"/>
          <w:szCs w:val="20"/>
        </w:rPr>
      </w:pPr>
      <w:r w:rsidRPr="00A20F2C">
        <w:rPr>
          <w:rFonts w:ascii="Arial" w:hAnsi="Arial" w:cs="Arial"/>
          <w:iCs/>
          <w:color w:val="000000"/>
          <w:sz w:val="20"/>
          <w:szCs w:val="20"/>
        </w:rPr>
        <w:t xml:space="preserve">For our YouTube channel: </w:t>
      </w:r>
      <w:r w:rsidRPr="00A20F2C">
        <w:rPr>
          <w:rFonts w:ascii="Arial" w:hAnsi="Arial" w:cs="Arial"/>
          <w:iCs/>
          <w:color w:val="000000"/>
          <w:sz w:val="20"/>
          <w:szCs w:val="20"/>
          <w:u w:val="single"/>
        </w:rPr>
        <w:t>http://</w:t>
      </w:r>
      <w:hyperlink r:id="rId15" w:history="1">
        <w:r w:rsidRPr="00A20F2C">
          <w:rPr>
            <w:rStyle w:val="Hyperlink"/>
            <w:rFonts w:ascii="Arial" w:hAnsi="Arial" w:cs="Arial"/>
            <w:iCs/>
            <w:sz w:val="20"/>
            <w:szCs w:val="20"/>
          </w:rPr>
          <w:t>www.youtube.com/worldbank</w:t>
        </w:r>
      </w:hyperlink>
    </w:p>
    <w:p w:rsidR="00422048" w:rsidRDefault="00422048" w:rsidP="00CA38BD">
      <w:pPr>
        <w:ind w:right="-72"/>
        <w:rPr>
          <w:rFonts w:ascii="Arial" w:hAnsi="Arial" w:cs="Arial"/>
          <w:color w:val="000000"/>
          <w:sz w:val="20"/>
          <w:szCs w:val="20"/>
        </w:rPr>
      </w:pPr>
    </w:p>
    <w:sectPr w:rsidR="00422048" w:rsidSect="00701B1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33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23B" w:rsidRDefault="0043723B">
      <w:r>
        <w:separator/>
      </w:r>
    </w:p>
  </w:endnote>
  <w:endnote w:type="continuationSeparator" w:id="0">
    <w:p w:rsidR="0043723B" w:rsidRDefault="0043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23D" w:rsidRDefault="00DB323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23D" w:rsidRDefault="00DB323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23D" w:rsidRDefault="00DB323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23B" w:rsidRDefault="0043723B">
      <w:r>
        <w:separator/>
      </w:r>
    </w:p>
  </w:footnote>
  <w:footnote w:type="continuationSeparator" w:id="0">
    <w:p w:rsidR="0043723B" w:rsidRDefault="004372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23D" w:rsidRDefault="00DB323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23D" w:rsidRDefault="00DB323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23D" w:rsidRDefault="00DB323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65B8"/>
    <w:multiLevelType w:val="hybridMultilevel"/>
    <w:tmpl w:val="09FA3E7E"/>
    <w:lvl w:ilvl="0" w:tplc="BD5AA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B36AED"/>
    <w:multiLevelType w:val="hybridMultilevel"/>
    <w:tmpl w:val="AE7AFF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7A"/>
    <w:rsid w:val="00000D13"/>
    <w:rsid w:val="00015C30"/>
    <w:rsid w:val="00017718"/>
    <w:rsid w:val="00033CF3"/>
    <w:rsid w:val="0006653D"/>
    <w:rsid w:val="000E10F9"/>
    <w:rsid w:val="00120B57"/>
    <w:rsid w:val="00166A75"/>
    <w:rsid w:val="00177CEB"/>
    <w:rsid w:val="00195142"/>
    <w:rsid w:val="001D427C"/>
    <w:rsid w:val="00217920"/>
    <w:rsid w:val="0022001F"/>
    <w:rsid w:val="00234860"/>
    <w:rsid w:val="00281FB6"/>
    <w:rsid w:val="00292459"/>
    <w:rsid w:val="0029249E"/>
    <w:rsid w:val="002A49EF"/>
    <w:rsid w:val="002B5B00"/>
    <w:rsid w:val="002D2806"/>
    <w:rsid w:val="002D331E"/>
    <w:rsid w:val="00311FEC"/>
    <w:rsid w:val="00324B3B"/>
    <w:rsid w:val="00334B74"/>
    <w:rsid w:val="00336C7D"/>
    <w:rsid w:val="00346B04"/>
    <w:rsid w:val="003A59BA"/>
    <w:rsid w:val="00416C6F"/>
    <w:rsid w:val="00422048"/>
    <w:rsid w:val="00435AF2"/>
    <w:rsid w:val="0043723B"/>
    <w:rsid w:val="004648BF"/>
    <w:rsid w:val="004755E0"/>
    <w:rsid w:val="00480CFC"/>
    <w:rsid w:val="004C03A0"/>
    <w:rsid w:val="004E236B"/>
    <w:rsid w:val="005220DD"/>
    <w:rsid w:val="00555CF5"/>
    <w:rsid w:val="005576C3"/>
    <w:rsid w:val="00581B7E"/>
    <w:rsid w:val="005B3A7B"/>
    <w:rsid w:val="005B4821"/>
    <w:rsid w:val="005B5846"/>
    <w:rsid w:val="005C3112"/>
    <w:rsid w:val="005D056E"/>
    <w:rsid w:val="005F4DBE"/>
    <w:rsid w:val="006237A6"/>
    <w:rsid w:val="00684305"/>
    <w:rsid w:val="006A4E4B"/>
    <w:rsid w:val="006B361B"/>
    <w:rsid w:val="00701B17"/>
    <w:rsid w:val="007037A3"/>
    <w:rsid w:val="00703C3C"/>
    <w:rsid w:val="007531D3"/>
    <w:rsid w:val="00775DB4"/>
    <w:rsid w:val="00780975"/>
    <w:rsid w:val="0078161C"/>
    <w:rsid w:val="007D6E9D"/>
    <w:rsid w:val="00812FB5"/>
    <w:rsid w:val="008476C1"/>
    <w:rsid w:val="008851F3"/>
    <w:rsid w:val="00890613"/>
    <w:rsid w:val="008A114E"/>
    <w:rsid w:val="008B088F"/>
    <w:rsid w:val="008B08DF"/>
    <w:rsid w:val="008B5CD7"/>
    <w:rsid w:val="008D1AA1"/>
    <w:rsid w:val="009153C0"/>
    <w:rsid w:val="009407B6"/>
    <w:rsid w:val="009A040B"/>
    <w:rsid w:val="00A0789C"/>
    <w:rsid w:val="00A20F2C"/>
    <w:rsid w:val="00A37AC5"/>
    <w:rsid w:val="00A42BB4"/>
    <w:rsid w:val="00A555A8"/>
    <w:rsid w:val="00A64CA8"/>
    <w:rsid w:val="00A95460"/>
    <w:rsid w:val="00AB1CD4"/>
    <w:rsid w:val="00B97EC1"/>
    <w:rsid w:val="00BB2848"/>
    <w:rsid w:val="00BB2BB2"/>
    <w:rsid w:val="00BB3102"/>
    <w:rsid w:val="00BC347A"/>
    <w:rsid w:val="00BD40B1"/>
    <w:rsid w:val="00BE5D5B"/>
    <w:rsid w:val="00BF2196"/>
    <w:rsid w:val="00BF77FC"/>
    <w:rsid w:val="00C067E0"/>
    <w:rsid w:val="00C249C7"/>
    <w:rsid w:val="00C5711D"/>
    <w:rsid w:val="00C62221"/>
    <w:rsid w:val="00C65E0A"/>
    <w:rsid w:val="00C65EAA"/>
    <w:rsid w:val="00C86C4F"/>
    <w:rsid w:val="00C92934"/>
    <w:rsid w:val="00C9764F"/>
    <w:rsid w:val="00CA38BD"/>
    <w:rsid w:val="00CA77ED"/>
    <w:rsid w:val="00CB6E72"/>
    <w:rsid w:val="00CC72AB"/>
    <w:rsid w:val="00D0300A"/>
    <w:rsid w:val="00D11031"/>
    <w:rsid w:val="00D16D9A"/>
    <w:rsid w:val="00D16F3D"/>
    <w:rsid w:val="00D55B17"/>
    <w:rsid w:val="00D6695C"/>
    <w:rsid w:val="00D70DAD"/>
    <w:rsid w:val="00DB323D"/>
    <w:rsid w:val="00E127E8"/>
    <w:rsid w:val="00E17456"/>
    <w:rsid w:val="00E525FC"/>
    <w:rsid w:val="00E5593C"/>
    <w:rsid w:val="00E624E8"/>
    <w:rsid w:val="00E81976"/>
    <w:rsid w:val="00EA4B30"/>
    <w:rsid w:val="00EF6888"/>
    <w:rsid w:val="00F068F1"/>
    <w:rsid w:val="00F17817"/>
    <w:rsid w:val="00F40E16"/>
    <w:rsid w:val="00F554C6"/>
    <w:rsid w:val="00F73F3C"/>
    <w:rsid w:val="00F753BD"/>
    <w:rsid w:val="00F9298F"/>
    <w:rsid w:val="00F94101"/>
    <w:rsid w:val="00FE0D8D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764F"/>
    <w:rPr>
      <w:sz w:val="24"/>
      <w:szCs w:val="24"/>
    </w:rPr>
  </w:style>
  <w:style w:type="paragraph" w:styleId="Heading2">
    <w:name w:val="heading 2"/>
    <w:basedOn w:val="Normal"/>
    <w:next w:val="Normal"/>
    <w:qFormat/>
    <w:rsid w:val="006237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qFormat/>
    <w:rsid w:val="00701B17"/>
    <w:pPr>
      <w:spacing w:before="100" w:beforeAutospacing="1" w:after="100" w:afterAutospacing="1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6653D"/>
    <w:rPr>
      <w:color w:val="0000FF"/>
      <w:u w:val="single"/>
    </w:rPr>
  </w:style>
  <w:style w:type="paragraph" w:styleId="Header">
    <w:name w:val="header"/>
    <w:basedOn w:val="Normal"/>
    <w:rsid w:val="00E559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93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77C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7CE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22048"/>
    <w:rPr>
      <w:b/>
      <w:bCs/>
    </w:rPr>
  </w:style>
  <w:style w:type="paragraph" w:styleId="ListParagraph">
    <w:name w:val="List Paragraph"/>
    <w:basedOn w:val="Normal"/>
    <w:uiPriority w:val="34"/>
    <w:qFormat/>
    <w:rsid w:val="004220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uiPriority w:val="99"/>
    <w:semiHidden/>
    <w:unhideWhenUsed/>
    <w:rsid w:val="00E338F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764F"/>
    <w:rPr>
      <w:sz w:val="24"/>
      <w:szCs w:val="24"/>
    </w:rPr>
  </w:style>
  <w:style w:type="paragraph" w:styleId="Heading2">
    <w:name w:val="heading 2"/>
    <w:basedOn w:val="Normal"/>
    <w:next w:val="Normal"/>
    <w:qFormat/>
    <w:rsid w:val="006237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qFormat/>
    <w:rsid w:val="00701B17"/>
    <w:pPr>
      <w:spacing w:before="100" w:beforeAutospacing="1" w:after="100" w:afterAutospacing="1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6653D"/>
    <w:rPr>
      <w:color w:val="0000FF"/>
      <w:u w:val="single"/>
    </w:rPr>
  </w:style>
  <w:style w:type="paragraph" w:styleId="Header">
    <w:name w:val="header"/>
    <w:basedOn w:val="Normal"/>
    <w:rsid w:val="00E559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93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77C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7CE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22048"/>
    <w:rPr>
      <w:b/>
      <w:bCs/>
    </w:rPr>
  </w:style>
  <w:style w:type="paragraph" w:styleId="ListParagraph">
    <w:name w:val="List Paragraph"/>
    <w:basedOn w:val="Normal"/>
    <w:uiPriority w:val="34"/>
    <w:qFormat/>
    <w:rsid w:val="004220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uiPriority w:val="99"/>
    <w:semiHidden/>
    <w:unhideWhenUsed/>
    <w:rsid w:val="00E338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worldbank.org/eap" TargetMode="External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www-wds.worldbank.org/external/default/WDSContentServer/WDSP/IB/2013/03/08/000333037_20130308112907/Rendered/PDF/758470PUB0EPI0001300PUBDATE02028013.pdf" TargetMode="External"/><Relationship Id="rId11" Type="http://schemas.openxmlformats.org/officeDocument/2006/relationships/hyperlink" Target="mailto:prisley@worldbank.org" TargetMode="External"/><Relationship Id="rId12" Type="http://schemas.openxmlformats.org/officeDocument/2006/relationships/hyperlink" Target="mailto:dchung2@worldbank.org" TargetMode="External"/><Relationship Id="rId13" Type="http://schemas.openxmlformats.org/officeDocument/2006/relationships/hyperlink" Target="http://www.facebook.com/worldbank" TargetMode="External"/><Relationship Id="rId14" Type="http://schemas.openxmlformats.org/officeDocument/2006/relationships/hyperlink" Target="http://www.twitter.com/worldbank" TargetMode="External"/><Relationship Id="rId15" Type="http://schemas.openxmlformats.org/officeDocument/2006/relationships/hyperlink" Target="http://www.youtube.com/worldbank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922</Words>
  <Characters>5257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6167</CharactersWithSpaces>
  <SharedDoc>false</SharedDoc>
  <HLinks>
    <vt:vector size="18" baseType="variant">
      <vt:variant>
        <vt:i4>4718595</vt:i4>
      </vt:variant>
      <vt:variant>
        <vt:i4>9</vt:i4>
      </vt:variant>
      <vt:variant>
        <vt:i4>0</vt:i4>
      </vt:variant>
      <vt:variant>
        <vt:i4>5</vt:i4>
      </vt:variant>
      <vt:variant>
        <vt:lpwstr>http://www.worldbank.org/</vt:lpwstr>
      </vt:variant>
      <vt:variant>
        <vt:lpwstr/>
      </vt:variant>
      <vt:variant>
        <vt:i4>1835062</vt:i4>
      </vt:variant>
      <vt:variant>
        <vt:i4>3</vt:i4>
      </vt:variant>
      <vt:variant>
        <vt:i4>0</vt:i4>
      </vt:variant>
      <vt:variant>
        <vt:i4>5</vt:i4>
      </vt:variant>
      <vt:variant>
        <vt:lpwstr>mailto:person@worldbank.org</vt:lpwstr>
      </vt:variant>
      <vt:variant>
        <vt:lpwstr/>
      </vt:variant>
      <vt:variant>
        <vt:i4>1835062</vt:i4>
      </vt:variant>
      <vt:variant>
        <vt:i4>0</vt:i4>
      </vt:variant>
      <vt:variant>
        <vt:i4>0</vt:i4>
      </vt:variant>
      <vt:variant>
        <vt:i4>5</vt:i4>
      </vt:variant>
      <vt:variant>
        <vt:lpwstr>mailto:person@worldbank.org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wb263062</dc:creator>
  <cp:lastModifiedBy>Adam Yousri</cp:lastModifiedBy>
  <cp:revision>2</cp:revision>
  <cp:lastPrinted>2013-06-02T10:48:00Z</cp:lastPrinted>
  <dcterms:created xsi:type="dcterms:W3CDTF">2013-06-03T03:07:00Z</dcterms:created>
  <dcterms:modified xsi:type="dcterms:W3CDTF">2013-06-03T03:07:00Z</dcterms:modified>
</cp:coreProperties>
</file>