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36" w:rsidRPr="00DC3029" w:rsidRDefault="00CE4336">
      <w:pPr>
        <w:rPr>
          <w:rFonts w:asciiTheme="majorHAnsi" w:hAnsiTheme="majorHAnsi"/>
          <w:sz w:val="28"/>
          <w:szCs w:val="28"/>
        </w:rPr>
      </w:pPr>
      <w:r w:rsidRPr="00DC3029">
        <w:rPr>
          <w:rFonts w:asciiTheme="majorHAnsi" w:hAnsiTheme="majorHAnsi"/>
          <w:noProof/>
          <w:sz w:val="28"/>
          <w:szCs w:val="28"/>
          <w:lang w:val="en-US"/>
        </w:rPr>
        <w:drawing>
          <wp:inline distT="0" distB="0" distL="0" distR="0">
            <wp:extent cx="5273040" cy="1624592"/>
            <wp:effectExtent l="0" t="0" r="1016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3040" cy="1624592"/>
                    </a:xfrm>
                    <a:prstGeom prst="rect">
                      <a:avLst/>
                    </a:prstGeom>
                    <a:noFill/>
                    <a:ln>
                      <a:noFill/>
                    </a:ln>
                  </pic:spPr>
                </pic:pic>
              </a:graphicData>
            </a:graphic>
          </wp:inline>
        </w:drawing>
      </w:r>
    </w:p>
    <w:p w:rsidR="00CE4336" w:rsidRPr="00DC3029" w:rsidRDefault="00CE4336">
      <w:pPr>
        <w:rPr>
          <w:rFonts w:asciiTheme="majorHAnsi" w:hAnsiTheme="majorHAnsi"/>
          <w:sz w:val="28"/>
          <w:szCs w:val="28"/>
        </w:rPr>
      </w:pPr>
    </w:p>
    <w:p w:rsidR="00CE4336" w:rsidRPr="00DC3029" w:rsidRDefault="00CE4336">
      <w:pPr>
        <w:rPr>
          <w:rFonts w:asciiTheme="majorHAnsi" w:hAnsiTheme="majorHAnsi"/>
          <w:b/>
          <w:sz w:val="32"/>
          <w:szCs w:val="32"/>
        </w:rPr>
      </w:pPr>
    </w:p>
    <w:p w:rsidR="00966DC4" w:rsidRPr="00DC3029" w:rsidRDefault="00CE4336">
      <w:pPr>
        <w:rPr>
          <w:rFonts w:asciiTheme="majorHAnsi" w:hAnsiTheme="majorHAnsi"/>
          <w:b/>
          <w:sz w:val="32"/>
          <w:szCs w:val="32"/>
        </w:rPr>
      </w:pPr>
      <w:r w:rsidRPr="00DC3029">
        <w:rPr>
          <w:rFonts w:asciiTheme="majorHAnsi" w:hAnsiTheme="majorHAnsi"/>
          <w:b/>
          <w:sz w:val="32"/>
          <w:szCs w:val="32"/>
        </w:rPr>
        <w:t>Towards a Post-2015 Framework for Disaster Risk Reduction</w:t>
      </w:r>
    </w:p>
    <w:p w:rsidR="00CE4336" w:rsidRPr="00DC3029" w:rsidRDefault="00CE4336">
      <w:pPr>
        <w:rPr>
          <w:rFonts w:asciiTheme="majorHAnsi" w:hAnsiTheme="majorHAnsi"/>
          <w:b/>
          <w:sz w:val="32"/>
          <w:szCs w:val="32"/>
        </w:rPr>
      </w:pPr>
    </w:p>
    <w:p w:rsidR="00CE4336" w:rsidRPr="00DC3029" w:rsidRDefault="00CE4336">
      <w:pPr>
        <w:rPr>
          <w:rFonts w:asciiTheme="majorHAnsi" w:hAnsiTheme="majorHAnsi"/>
          <w:b/>
          <w:sz w:val="32"/>
          <w:szCs w:val="32"/>
        </w:rPr>
      </w:pPr>
    </w:p>
    <w:p w:rsidR="00CE4336" w:rsidRPr="00DC3029" w:rsidRDefault="00AA25D5" w:rsidP="00AA25D5">
      <w:pPr>
        <w:rPr>
          <w:rFonts w:asciiTheme="majorHAnsi" w:hAnsiTheme="majorHAnsi"/>
          <w:b/>
          <w:sz w:val="28"/>
          <w:szCs w:val="28"/>
        </w:rPr>
      </w:pPr>
      <w:r w:rsidRPr="00DC3029">
        <w:rPr>
          <w:rFonts w:asciiTheme="majorHAnsi" w:hAnsiTheme="majorHAnsi"/>
          <w:b/>
          <w:sz w:val="28"/>
          <w:szCs w:val="28"/>
        </w:rPr>
        <w:t>Comments from the Multi-Stakeholder C</w:t>
      </w:r>
      <w:r w:rsidR="00CE4336" w:rsidRPr="00DC3029">
        <w:rPr>
          <w:rFonts w:asciiTheme="majorHAnsi" w:hAnsiTheme="majorHAnsi"/>
          <w:b/>
          <w:sz w:val="28"/>
          <w:szCs w:val="28"/>
        </w:rPr>
        <w:t>onsultations in Samoa</w:t>
      </w:r>
    </w:p>
    <w:p w:rsidR="00CE4336" w:rsidRPr="00DC3029" w:rsidRDefault="00CE4336" w:rsidP="00CE4336">
      <w:pPr>
        <w:jc w:val="center"/>
        <w:rPr>
          <w:rFonts w:asciiTheme="majorHAnsi" w:hAnsiTheme="majorHAnsi"/>
          <w:b/>
          <w:sz w:val="28"/>
          <w:szCs w:val="28"/>
        </w:rPr>
      </w:pPr>
    </w:p>
    <w:p w:rsidR="00CE4336" w:rsidRPr="00DC3029" w:rsidRDefault="00CE4336" w:rsidP="00CE4336">
      <w:pPr>
        <w:jc w:val="center"/>
        <w:rPr>
          <w:rFonts w:asciiTheme="majorHAnsi" w:hAnsiTheme="majorHAnsi"/>
          <w:b/>
          <w:sz w:val="28"/>
          <w:szCs w:val="28"/>
        </w:rPr>
      </w:pPr>
    </w:p>
    <w:p w:rsidR="00CE4336" w:rsidRPr="00DC3029" w:rsidRDefault="00CE4336" w:rsidP="00AA25D5">
      <w:pPr>
        <w:rPr>
          <w:rFonts w:asciiTheme="majorHAnsi" w:hAnsiTheme="majorHAnsi"/>
          <w:sz w:val="28"/>
          <w:szCs w:val="28"/>
        </w:rPr>
      </w:pPr>
      <w:r w:rsidRPr="00DC3029">
        <w:rPr>
          <w:rFonts w:asciiTheme="majorHAnsi" w:hAnsiTheme="majorHAnsi"/>
          <w:sz w:val="28"/>
          <w:szCs w:val="28"/>
        </w:rPr>
        <w:t>Submitted by Herman Timmermans</w:t>
      </w:r>
    </w:p>
    <w:p w:rsidR="00CE4336" w:rsidRPr="00DC3029" w:rsidRDefault="00CE4336" w:rsidP="00AA25D5">
      <w:pPr>
        <w:rPr>
          <w:rFonts w:asciiTheme="majorHAnsi" w:hAnsiTheme="majorHAnsi"/>
          <w:sz w:val="28"/>
          <w:szCs w:val="28"/>
        </w:rPr>
      </w:pPr>
      <w:r w:rsidRPr="00DC3029">
        <w:rPr>
          <w:rFonts w:asciiTheme="majorHAnsi" w:hAnsiTheme="majorHAnsi"/>
          <w:sz w:val="28"/>
          <w:szCs w:val="28"/>
        </w:rPr>
        <w:t>ISDR HFA Review Consultant</w:t>
      </w:r>
    </w:p>
    <w:p w:rsidR="00AA25D5" w:rsidRPr="00DC3029" w:rsidRDefault="005A62E0" w:rsidP="00AA25D5">
      <w:pPr>
        <w:rPr>
          <w:rFonts w:asciiTheme="majorHAnsi" w:hAnsiTheme="majorHAnsi"/>
          <w:sz w:val="28"/>
          <w:szCs w:val="28"/>
        </w:rPr>
      </w:pPr>
      <w:r>
        <w:rPr>
          <w:rFonts w:asciiTheme="majorHAnsi" w:hAnsiTheme="majorHAnsi"/>
          <w:noProof/>
          <w:sz w:val="28"/>
          <w:szCs w:val="28"/>
          <w:lang w:val="en-US"/>
        </w:rPr>
        <w:pict>
          <v:line id="Straight Connector 3" o:spid="_x0000_s1026" style="position:absolute;z-index:251659264;visibility:visible" from="0,16.25pt" to="468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7psbsBAADDAwAADgAAAGRycy9lMm9Eb2MueG1srFNNbxMxEL0j8R8s35vdJFDBKpseUsEFQUTL&#10;D3C946wl22ONTT7+PWMn2SJAqoR68XrseW/mPc+u7o7eiT1Qshh6OZ+1UkDQONiw6+WPx083H6RI&#10;WYVBOQzQyxMkebd++2Z1iB0scEQ3AAkmCak7xF6OOceuaZIewas0wwiBLw2SV5lD2jUDqQOze9cs&#10;2va2OSANkVBDSnx6f76U68pvDOj8zZgEWbhecm+5rlTXp7I265XqdqTiaPWlDfUfXXhlAxedqO5V&#10;VuIn2b+ovNWECU2eafQNGmM1VA2sZt7+oeZhVBGqFjYnxcmm9Hq0+ut+S8IOvVxKEZTnJ3rIpOxu&#10;zGKDIbCBSGJZfDrE1HH6JmzpEqW4pSL6aMiXL8sRx+rtafIWjlloPnz/8d3ytuUn0Ne75hkYKeXP&#10;gF6UTS+dDUW26tT+S8pcjFOvKRyURs6l6y6fHJRkF76DYSlcbFHRdYhg40jsFT+/0hpCnhcpzFez&#10;C8xY5yZg+zLwkl+gUAdsAs9fBk+IWhlDnsDeBqR/EeTjtWVzzr86cNZdLHjC4VQfpVrDk1IVXqa6&#10;jOLvcYU//3vrXwAAAP//AwBQSwMEFAAGAAgAAAAhAHYiRt3bAAAABgEAAA8AAABkcnMvZG93bnJl&#10;di54bWxMj8FOwzAQRO9I/IO1SFxQ65CKqoQ4VYWEuHChQUjc3HgTB+J1ZLtp+vcs4gDHmVnNvC23&#10;sxvEhCH2nhTcLjMQSI03PXUK3uqnxQZETJqMHjyhgjNG2FaXF6UujD/RK0771AkuoVhoBTalsZAy&#10;Nhadjks/InHW+uB0Yhk6aYI+cbkbZJ5la+l0T7xg9YiPFpuv/dEpaHeB8vpcu+cX/fl+E7Ppw/pW&#10;qeurefcAIuGc/o7hB5/RoWKmgz+SiWJQwI8kBav8DgSn96s1G4dfQ1al/I9ffQMAAP//AwBQSwEC&#10;LQAUAAYACAAAACEA5JnDwPsAAADhAQAAEwAAAAAAAAAAAAAAAAAAAAAAW0NvbnRlbnRfVHlwZXNd&#10;LnhtbFBLAQItABQABgAIAAAAIQAjsmrh1wAAAJQBAAALAAAAAAAAAAAAAAAAACwBAABfcmVscy8u&#10;cmVsc1BLAQItABQABgAIAAAAIQAwrumxuwEAAMMDAAAOAAAAAAAAAAAAAAAAACwCAABkcnMvZTJv&#10;RG9jLnhtbFBLAQItABQABgAIAAAAIQB2Ikbd2wAAAAYBAAAPAAAAAAAAAAAAAAAAABMEAABkcnMv&#10;ZG93bnJldi54bWxQSwUGAAAAAAQABADzAAAAGwUAAAAA&#10;" strokecolor="#4f81bd [3204]" strokeweight="2pt">
            <v:shadow on="t40000f" opacity="24903f" origin=",.5" offset="0,.55556mm"/>
          </v:line>
        </w:pict>
      </w:r>
    </w:p>
    <w:p w:rsidR="00AA25D5" w:rsidRPr="00DC3029" w:rsidRDefault="00AA25D5" w:rsidP="00AA25D5">
      <w:pPr>
        <w:rPr>
          <w:rFonts w:asciiTheme="majorHAnsi" w:hAnsiTheme="majorHAnsi"/>
          <w:sz w:val="28"/>
          <w:szCs w:val="28"/>
        </w:rPr>
      </w:pPr>
    </w:p>
    <w:p w:rsidR="006E4E04" w:rsidRPr="00DC3029" w:rsidRDefault="006E4E04" w:rsidP="00315E6E">
      <w:pPr>
        <w:spacing w:after="120"/>
        <w:rPr>
          <w:rFonts w:asciiTheme="majorHAnsi" w:hAnsiTheme="majorHAnsi"/>
          <w:sz w:val="28"/>
          <w:szCs w:val="28"/>
        </w:rPr>
      </w:pPr>
    </w:p>
    <w:p w:rsidR="00315E6E" w:rsidRPr="00DC3029" w:rsidRDefault="006E4E04" w:rsidP="00D10907">
      <w:pPr>
        <w:spacing w:after="120"/>
        <w:jc w:val="both"/>
        <w:rPr>
          <w:rFonts w:asciiTheme="majorHAnsi" w:hAnsiTheme="majorHAnsi" w:cs="Arial"/>
          <w:sz w:val="28"/>
          <w:szCs w:val="28"/>
        </w:rPr>
      </w:pPr>
      <w:r w:rsidRPr="00DC3029">
        <w:rPr>
          <w:rFonts w:asciiTheme="majorHAnsi" w:hAnsiTheme="majorHAnsi" w:cs="Arial"/>
          <w:sz w:val="28"/>
          <w:szCs w:val="28"/>
        </w:rPr>
        <w:t>I</w:t>
      </w:r>
      <w:r w:rsidR="00315E6E" w:rsidRPr="00DC3029">
        <w:rPr>
          <w:rFonts w:asciiTheme="majorHAnsi" w:hAnsiTheme="majorHAnsi" w:cs="Arial"/>
          <w:sz w:val="28"/>
          <w:szCs w:val="28"/>
        </w:rPr>
        <w:t>NTRODUCTION</w:t>
      </w:r>
    </w:p>
    <w:p w:rsidR="009C46E4" w:rsidRPr="00DC3029" w:rsidRDefault="00315E6E" w:rsidP="00D10907">
      <w:pPr>
        <w:jc w:val="both"/>
        <w:rPr>
          <w:rFonts w:asciiTheme="majorHAnsi" w:hAnsiTheme="majorHAnsi" w:cs="Arial"/>
          <w:sz w:val="28"/>
          <w:szCs w:val="28"/>
        </w:rPr>
      </w:pPr>
      <w:r w:rsidRPr="00DC3029">
        <w:rPr>
          <w:rFonts w:asciiTheme="majorHAnsi" w:hAnsiTheme="majorHAnsi" w:cs="Arial"/>
          <w:sz w:val="28"/>
          <w:szCs w:val="28"/>
        </w:rPr>
        <w:t xml:space="preserve">Countries party to the </w:t>
      </w:r>
      <w:r w:rsidR="00BC39E2" w:rsidRPr="00DC3029">
        <w:rPr>
          <w:rFonts w:asciiTheme="majorHAnsi" w:hAnsiTheme="majorHAnsi" w:cs="Arial"/>
          <w:sz w:val="28"/>
          <w:szCs w:val="28"/>
        </w:rPr>
        <w:t xml:space="preserve">adoption of the </w:t>
      </w:r>
      <w:r w:rsidRPr="00DC3029">
        <w:rPr>
          <w:rFonts w:asciiTheme="majorHAnsi" w:hAnsiTheme="majorHAnsi" w:cs="Arial"/>
          <w:sz w:val="28"/>
          <w:szCs w:val="28"/>
        </w:rPr>
        <w:t>Hyogo</w:t>
      </w:r>
      <w:r w:rsidR="00BC39E2" w:rsidRPr="00DC3029">
        <w:rPr>
          <w:rFonts w:asciiTheme="majorHAnsi" w:hAnsiTheme="majorHAnsi" w:cs="Arial"/>
          <w:sz w:val="28"/>
          <w:szCs w:val="28"/>
        </w:rPr>
        <w:t xml:space="preserve"> Framework for Action 2005 – 2015 at the World Conference on Disaster Reduction in 2005 </w:t>
      </w:r>
      <w:r w:rsidR="00190CCF" w:rsidRPr="00DC3029">
        <w:rPr>
          <w:rFonts w:asciiTheme="majorHAnsi" w:hAnsiTheme="majorHAnsi" w:cs="Arial"/>
          <w:sz w:val="28"/>
          <w:szCs w:val="28"/>
        </w:rPr>
        <w:t>have been</w:t>
      </w:r>
      <w:r w:rsidR="00BC39E2" w:rsidRPr="00DC3029">
        <w:rPr>
          <w:rFonts w:asciiTheme="majorHAnsi" w:hAnsiTheme="majorHAnsi" w:cs="Arial"/>
          <w:sz w:val="28"/>
          <w:szCs w:val="28"/>
        </w:rPr>
        <w:t xml:space="preserve"> invited to provide inputs into the </w:t>
      </w:r>
      <w:r w:rsidR="009C46E4" w:rsidRPr="00DC3029">
        <w:rPr>
          <w:rFonts w:asciiTheme="majorHAnsi" w:hAnsiTheme="majorHAnsi" w:cs="Arial"/>
          <w:sz w:val="28"/>
          <w:szCs w:val="28"/>
        </w:rPr>
        <w:t>design</w:t>
      </w:r>
      <w:r w:rsidR="00BC39E2" w:rsidRPr="00DC3029">
        <w:rPr>
          <w:rFonts w:asciiTheme="majorHAnsi" w:hAnsiTheme="majorHAnsi" w:cs="Arial"/>
          <w:sz w:val="28"/>
          <w:szCs w:val="28"/>
        </w:rPr>
        <w:t xml:space="preserve"> of </w:t>
      </w:r>
      <w:r w:rsidR="009C46E4" w:rsidRPr="00DC3029">
        <w:rPr>
          <w:rFonts w:asciiTheme="majorHAnsi" w:hAnsiTheme="majorHAnsi" w:cs="Arial"/>
          <w:sz w:val="28"/>
          <w:szCs w:val="28"/>
        </w:rPr>
        <w:t>a ‘framework’ to succeed the HFA when it expires in 2015.</w:t>
      </w:r>
    </w:p>
    <w:p w:rsidR="009C46E4" w:rsidRPr="00DC3029" w:rsidRDefault="009C46E4" w:rsidP="00D10907">
      <w:pPr>
        <w:jc w:val="both"/>
        <w:rPr>
          <w:rFonts w:asciiTheme="majorHAnsi" w:hAnsiTheme="majorHAnsi" w:cs="Arial"/>
          <w:sz w:val="28"/>
          <w:szCs w:val="28"/>
        </w:rPr>
      </w:pPr>
    </w:p>
    <w:p w:rsidR="00D67A98" w:rsidRDefault="009C46E4" w:rsidP="00D10907">
      <w:pPr>
        <w:spacing w:after="240"/>
        <w:jc w:val="both"/>
        <w:rPr>
          <w:rFonts w:asciiTheme="majorHAnsi" w:hAnsiTheme="majorHAnsi" w:cs="Arial"/>
          <w:sz w:val="28"/>
          <w:szCs w:val="28"/>
        </w:rPr>
      </w:pPr>
      <w:r w:rsidRPr="00DC3029">
        <w:rPr>
          <w:rFonts w:asciiTheme="majorHAnsi" w:hAnsiTheme="majorHAnsi" w:cs="Arial"/>
          <w:sz w:val="28"/>
          <w:szCs w:val="28"/>
        </w:rPr>
        <w:t>The consultations in Samoa were conducted in August 2012 as a ‘</w:t>
      </w:r>
      <w:r w:rsidR="00870860" w:rsidRPr="00DC3029">
        <w:rPr>
          <w:rFonts w:asciiTheme="majorHAnsi" w:hAnsiTheme="majorHAnsi" w:cs="Arial"/>
          <w:sz w:val="28"/>
          <w:szCs w:val="28"/>
        </w:rPr>
        <w:t>comple</w:t>
      </w:r>
      <w:r w:rsidRPr="00DC3029">
        <w:rPr>
          <w:rFonts w:asciiTheme="majorHAnsi" w:hAnsiTheme="majorHAnsi" w:cs="Arial"/>
          <w:sz w:val="28"/>
          <w:szCs w:val="28"/>
        </w:rPr>
        <w:t>mentary activity’</w:t>
      </w:r>
      <w:r w:rsidR="00190CCF" w:rsidRPr="00DC3029">
        <w:rPr>
          <w:rFonts w:asciiTheme="majorHAnsi" w:hAnsiTheme="majorHAnsi" w:cs="Arial"/>
          <w:sz w:val="28"/>
          <w:szCs w:val="28"/>
        </w:rPr>
        <w:t xml:space="preserve">to </w:t>
      </w:r>
      <w:r w:rsidR="00870860" w:rsidRPr="00DC3029">
        <w:rPr>
          <w:rFonts w:asciiTheme="majorHAnsi" w:hAnsiTheme="majorHAnsi" w:cs="Arial"/>
          <w:sz w:val="28"/>
          <w:szCs w:val="28"/>
        </w:rPr>
        <w:t xml:space="preserve">the </w:t>
      </w:r>
      <w:r w:rsidR="00190CCF" w:rsidRPr="00DC3029">
        <w:rPr>
          <w:rFonts w:asciiTheme="majorHAnsi" w:hAnsiTheme="majorHAnsi" w:cs="Arial"/>
          <w:sz w:val="28"/>
          <w:szCs w:val="28"/>
        </w:rPr>
        <w:t xml:space="preserve">HFA Monitor Country </w:t>
      </w:r>
      <w:r w:rsidR="00870860" w:rsidRPr="00DC3029">
        <w:rPr>
          <w:rFonts w:asciiTheme="majorHAnsi" w:hAnsiTheme="majorHAnsi" w:cs="Arial"/>
          <w:sz w:val="28"/>
          <w:szCs w:val="28"/>
        </w:rPr>
        <w:t xml:space="preserve">Progress Review (2011-2013) supported by ISDR Suva. </w:t>
      </w:r>
      <w:r w:rsidR="00F336EB">
        <w:rPr>
          <w:rFonts w:asciiTheme="majorHAnsi" w:hAnsiTheme="majorHAnsi" w:cs="Arial"/>
          <w:sz w:val="28"/>
          <w:szCs w:val="28"/>
        </w:rPr>
        <w:t>T</w:t>
      </w:r>
      <w:r w:rsidR="00870860" w:rsidRPr="00DC3029">
        <w:rPr>
          <w:rFonts w:asciiTheme="majorHAnsi" w:hAnsiTheme="majorHAnsi" w:cs="Arial"/>
          <w:sz w:val="28"/>
          <w:szCs w:val="28"/>
        </w:rPr>
        <w:t xml:space="preserve">he question of a post-2015 framework was posed to participants attending </w:t>
      </w:r>
      <w:r w:rsidR="00F336EB">
        <w:rPr>
          <w:rFonts w:asciiTheme="majorHAnsi" w:hAnsiTheme="majorHAnsi" w:cs="Arial"/>
          <w:sz w:val="28"/>
          <w:szCs w:val="28"/>
        </w:rPr>
        <w:t xml:space="preserve">a </w:t>
      </w:r>
      <w:r w:rsidR="00870860" w:rsidRPr="00DC3029">
        <w:rPr>
          <w:rFonts w:asciiTheme="majorHAnsi" w:hAnsiTheme="majorHAnsi" w:cs="Arial"/>
          <w:sz w:val="28"/>
          <w:szCs w:val="28"/>
        </w:rPr>
        <w:t xml:space="preserve">multi-stakeholder </w:t>
      </w:r>
      <w:r w:rsidR="0086226E" w:rsidRPr="00DC3029">
        <w:rPr>
          <w:rFonts w:asciiTheme="majorHAnsi" w:hAnsiTheme="majorHAnsi" w:cs="Arial"/>
          <w:sz w:val="28"/>
          <w:szCs w:val="28"/>
        </w:rPr>
        <w:t xml:space="preserve">HFA Review </w:t>
      </w:r>
      <w:r w:rsidR="00F336EB">
        <w:rPr>
          <w:rFonts w:asciiTheme="majorHAnsi" w:hAnsiTheme="majorHAnsi" w:cs="Arial"/>
          <w:sz w:val="28"/>
          <w:szCs w:val="28"/>
        </w:rPr>
        <w:t>workshop</w:t>
      </w:r>
      <w:r w:rsidR="00870860" w:rsidRPr="00DC3029">
        <w:rPr>
          <w:rFonts w:asciiTheme="majorHAnsi" w:hAnsiTheme="majorHAnsi" w:cs="Arial"/>
          <w:sz w:val="28"/>
          <w:szCs w:val="28"/>
        </w:rPr>
        <w:t xml:space="preserve"> in </w:t>
      </w:r>
      <w:r w:rsidR="00F336EB">
        <w:rPr>
          <w:rFonts w:asciiTheme="majorHAnsi" w:hAnsiTheme="majorHAnsi" w:cs="Arial"/>
          <w:sz w:val="28"/>
          <w:szCs w:val="28"/>
        </w:rPr>
        <w:t>Apia</w:t>
      </w:r>
      <w:r w:rsidR="0086226E" w:rsidRPr="00DC3029">
        <w:rPr>
          <w:rFonts w:asciiTheme="majorHAnsi" w:hAnsiTheme="majorHAnsi" w:cs="Arial"/>
          <w:sz w:val="28"/>
          <w:szCs w:val="28"/>
        </w:rPr>
        <w:t xml:space="preserve"> (</w:t>
      </w:r>
      <w:r w:rsidR="00F336EB">
        <w:rPr>
          <w:rFonts w:asciiTheme="majorHAnsi" w:hAnsiTheme="majorHAnsi" w:cs="Arial"/>
          <w:sz w:val="28"/>
          <w:szCs w:val="28"/>
        </w:rPr>
        <w:t xml:space="preserve">23-24 </w:t>
      </w:r>
      <w:r w:rsidR="00DC3029" w:rsidRPr="00DC3029">
        <w:rPr>
          <w:rFonts w:asciiTheme="majorHAnsi" w:hAnsiTheme="majorHAnsi" w:cs="Arial"/>
          <w:sz w:val="28"/>
          <w:szCs w:val="28"/>
        </w:rPr>
        <w:t>August 2012</w:t>
      </w:r>
      <w:r w:rsidR="0086226E" w:rsidRPr="00DC3029">
        <w:rPr>
          <w:rFonts w:asciiTheme="majorHAnsi" w:hAnsiTheme="majorHAnsi" w:cs="Arial"/>
          <w:sz w:val="28"/>
          <w:szCs w:val="28"/>
        </w:rPr>
        <w:t>)</w:t>
      </w:r>
      <w:r w:rsidR="00F336EB">
        <w:rPr>
          <w:rFonts w:asciiTheme="majorHAnsi" w:hAnsiTheme="majorHAnsi" w:cs="Arial"/>
          <w:sz w:val="28"/>
          <w:szCs w:val="28"/>
        </w:rPr>
        <w:t>.</w:t>
      </w:r>
      <w:r w:rsidR="00621EDD">
        <w:rPr>
          <w:rFonts w:asciiTheme="majorHAnsi" w:hAnsiTheme="majorHAnsi" w:cs="Arial"/>
          <w:sz w:val="28"/>
          <w:szCs w:val="28"/>
        </w:rPr>
        <w:t xml:space="preserve"> </w:t>
      </w:r>
      <w:r w:rsidR="00F757AB">
        <w:rPr>
          <w:rFonts w:asciiTheme="majorHAnsi" w:hAnsiTheme="majorHAnsi" w:cs="Arial"/>
          <w:sz w:val="28"/>
          <w:szCs w:val="28"/>
        </w:rPr>
        <w:t xml:space="preserve">Forty five members of the multi-agency Disaster Advisory Committee </w:t>
      </w:r>
      <w:r w:rsidR="0086226E" w:rsidRPr="00DC3029">
        <w:rPr>
          <w:rFonts w:asciiTheme="majorHAnsi" w:hAnsiTheme="majorHAnsi" w:cs="Arial"/>
          <w:sz w:val="28"/>
          <w:szCs w:val="28"/>
        </w:rPr>
        <w:t xml:space="preserve">representing a cross-mix of society attended. The question was posed after having </w:t>
      </w:r>
      <w:r w:rsidR="00DC3029">
        <w:rPr>
          <w:rFonts w:asciiTheme="majorHAnsi" w:hAnsiTheme="majorHAnsi" w:cs="Arial"/>
          <w:sz w:val="28"/>
          <w:szCs w:val="28"/>
        </w:rPr>
        <w:t xml:space="preserve">first </w:t>
      </w:r>
      <w:r w:rsidR="0086226E" w:rsidRPr="00DC3029">
        <w:rPr>
          <w:rFonts w:asciiTheme="majorHAnsi" w:hAnsiTheme="majorHAnsi" w:cs="Arial"/>
          <w:sz w:val="28"/>
          <w:szCs w:val="28"/>
        </w:rPr>
        <w:t xml:space="preserve">worked through the HFA Monitor Template. </w:t>
      </w:r>
    </w:p>
    <w:p w:rsidR="00F336EB" w:rsidRDefault="00F336EB" w:rsidP="00F336EB">
      <w:pPr>
        <w:jc w:val="both"/>
        <w:rPr>
          <w:rFonts w:asciiTheme="majorHAnsi" w:hAnsiTheme="majorHAnsi" w:cs="Arial"/>
          <w:sz w:val="28"/>
          <w:szCs w:val="28"/>
        </w:rPr>
      </w:pPr>
    </w:p>
    <w:p w:rsidR="00621EDD" w:rsidRDefault="00621EDD" w:rsidP="00F336EB">
      <w:pPr>
        <w:jc w:val="both"/>
        <w:rPr>
          <w:rFonts w:asciiTheme="majorHAnsi" w:hAnsiTheme="majorHAnsi" w:cs="Arial"/>
          <w:sz w:val="28"/>
          <w:szCs w:val="28"/>
        </w:rPr>
      </w:pPr>
    </w:p>
    <w:p w:rsidR="00621EDD" w:rsidRDefault="00621EDD" w:rsidP="00F336EB">
      <w:pPr>
        <w:jc w:val="both"/>
        <w:rPr>
          <w:rFonts w:asciiTheme="majorHAnsi" w:hAnsiTheme="majorHAnsi" w:cs="Arial"/>
          <w:sz w:val="28"/>
          <w:szCs w:val="28"/>
        </w:rPr>
      </w:pPr>
    </w:p>
    <w:p w:rsidR="00621EDD" w:rsidRDefault="00621EDD" w:rsidP="00F336EB">
      <w:pPr>
        <w:jc w:val="both"/>
        <w:rPr>
          <w:rFonts w:asciiTheme="majorHAnsi" w:hAnsiTheme="majorHAnsi" w:cs="Arial"/>
          <w:sz w:val="28"/>
          <w:szCs w:val="28"/>
        </w:rPr>
      </w:pPr>
    </w:p>
    <w:p w:rsidR="00D67A98" w:rsidRPr="00D67A98" w:rsidRDefault="00D67A98" w:rsidP="00D67A98">
      <w:pPr>
        <w:spacing w:after="240"/>
        <w:jc w:val="both"/>
        <w:rPr>
          <w:rFonts w:asciiTheme="majorHAnsi" w:hAnsiTheme="majorHAnsi" w:cs="Arial"/>
          <w:b/>
          <w:bCs/>
          <w:sz w:val="28"/>
          <w:szCs w:val="28"/>
        </w:rPr>
      </w:pPr>
      <w:r w:rsidRPr="00D67A98">
        <w:rPr>
          <w:rFonts w:asciiTheme="majorHAnsi" w:hAnsiTheme="majorHAnsi" w:cs="Arial"/>
          <w:b/>
          <w:bCs/>
          <w:sz w:val="28"/>
          <w:szCs w:val="28"/>
        </w:rPr>
        <w:lastRenderedPageBreak/>
        <w:t>Current Levels of Awareness &amp; Understanding</w:t>
      </w:r>
    </w:p>
    <w:p w:rsidR="00D67A98" w:rsidRDefault="00D67A98" w:rsidP="00D10907">
      <w:pPr>
        <w:spacing w:after="240"/>
        <w:jc w:val="both"/>
        <w:rPr>
          <w:rFonts w:asciiTheme="majorHAnsi" w:hAnsiTheme="majorHAnsi" w:cs="Arial"/>
          <w:sz w:val="28"/>
          <w:szCs w:val="28"/>
        </w:rPr>
      </w:pPr>
      <w:r>
        <w:rPr>
          <w:rFonts w:asciiTheme="majorHAnsi" w:hAnsiTheme="majorHAnsi" w:cs="Arial"/>
          <w:sz w:val="28"/>
          <w:szCs w:val="28"/>
        </w:rPr>
        <w:t xml:space="preserve">Levels of awareness and understanding of the RFA and HFA were limited. Only about 1/3 of participants had heard of the frameworks and only those working for the NDMO had more detailed knowledge of them. </w:t>
      </w:r>
    </w:p>
    <w:p w:rsidR="00D67A98" w:rsidRDefault="00D67A98" w:rsidP="00D10907">
      <w:pPr>
        <w:spacing w:after="240"/>
        <w:jc w:val="both"/>
        <w:rPr>
          <w:rFonts w:asciiTheme="majorHAnsi" w:hAnsiTheme="majorHAnsi" w:cs="Arial"/>
          <w:sz w:val="28"/>
          <w:szCs w:val="28"/>
        </w:rPr>
      </w:pPr>
      <w:r>
        <w:rPr>
          <w:rFonts w:asciiTheme="majorHAnsi" w:hAnsiTheme="majorHAnsi" w:cs="Arial"/>
          <w:sz w:val="28"/>
          <w:szCs w:val="28"/>
        </w:rPr>
        <w:t>As participants at the multi-stakeholder workshop were members of Samoa’s multi-agency Disaster Advisory Committee (DAC) there was a greater awareness and understanding of disaster risk management and climate ch</w:t>
      </w:r>
      <w:r w:rsidR="00F336EB">
        <w:rPr>
          <w:rFonts w:asciiTheme="majorHAnsi" w:hAnsiTheme="majorHAnsi" w:cs="Arial"/>
          <w:sz w:val="28"/>
          <w:szCs w:val="28"/>
        </w:rPr>
        <w:t>ange adaptation and mitigation at the conceptual level.</w:t>
      </w:r>
    </w:p>
    <w:p w:rsidR="00D67A98" w:rsidRDefault="00D67A98" w:rsidP="00D10907">
      <w:pPr>
        <w:spacing w:after="240"/>
        <w:jc w:val="both"/>
        <w:rPr>
          <w:rFonts w:asciiTheme="majorHAnsi" w:hAnsiTheme="majorHAnsi" w:cs="Arial"/>
          <w:sz w:val="28"/>
          <w:szCs w:val="28"/>
        </w:rPr>
      </w:pPr>
      <w:r>
        <w:rPr>
          <w:rFonts w:asciiTheme="majorHAnsi" w:hAnsiTheme="majorHAnsi" w:cs="Arial"/>
          <w:sz w:val="28"/>
          <w:szCs w:val="28"/>
        </w:rPr>
        <w:t>Participants felt that Samo</w:t>
      </w:r>
      <w:bookmarkStart w:id="0" w:name="_GoBack"/>
      <w:bookmarkEnd w:id="0"/>
      <w:r>
        <w:rPr>
          <w:rFonts w:asciiTheme="majorHAnsi" w:hAnsiTheme="majorHAnsi" w:cs="Arial"/>
          <w:sz w:val="28"/>
          <w:szCs w:val="28"/>
        </w:rPr>
        <w:t>s was very active in disaster risk management and climate change as evidenced by the many programmes and projects being implemented (or in the pipeline).</w:t>
      </w:r>
    </w:p>
    <w:p w:rsidR="00D67A98" w:rsidRDefault="00D67A98" w:rsidP="00F336EB">
      <w:pPr>
        <w:jc w:val="both"/>
        <w:rPr>
          <w:rFonts w:asciiTheme="majorHAnsi" w:hAnsiTheme="majorHAnsi" w:cs="Arial"/>
          <w:sz w:val="28"/>
          <w:szCs w:val="28"/>
        </w:rPr>
      </w:pPr>
    </w:p>
    <w:p w:rsidR="00D67A98" w:rsidRDefault="00D67A98" w:rsidP="00D67A98">
      <w:pPr>
        <w:spacing w:after="240"/>
        <w:jc w:val="both"/>
        <w:rPr>
          <w:rFonts w:asciiTheme="majorHAnsi" w:hAnsiTheme="majorHAnsi" w:cs="Arial"/>
          <w:b/>
          <w:bCs/>
          <w:sz w:val="28"/>
          <w:szCs w:val="28"/>
        </w:rPr>
      </w:pPr>
      <w:r w:rsidRPr="00D67A98">
        <w:rPr>
          <w:rFonts w:asciiTheme="majorHAnsi" w:hAnsiTheme="majorHAnsi" w:cs="Arial"/>
          <w:b/>
          <w:bCs/>
          <w:sz w:val="28"/>
          <w:szCs w:val="28"/>
        </w:rPr>
        <w:t xml:space="preserve">Achievements, Challenges and Opportunities  </w:t>
      </w:r>
    </w:p>
    <w:p w:rsidR="00D67A98" w:rsidRPr="00E47388" w:rsidRDefault="00D67A98" w:rsidP="00D67A98">
      <w:pPr>
        <w:spacing w:after="240"/>
        <w:jc w:val="both"/>
        <w:rPr>
          <w:rFonts w:asciiTheme="majorHAnsi" w:hAnsiTheme="majorHAnsi" w:cs="Arial"/>
          <w:bCs/>
          <w:i/>
          <w:sz w:val="28"/>
          <w:szCs w:val="28"/>
        </w:rPr>
      </w:pPr>
      <w:r w:rsidRPr="00E47388">
        <w:rPr>
          <w:rFonts w:asciiTheme="majorHAnsi" w:hAnsiTheme="majorHAnsi" w:cs="Arial"/>
          <w:bCs/>
          <w:i/>
          <w:sz w:val="28"/>
          <w:szCs w:val="28"/>
        </w:rPr>
        <w:t xml:space="preserve">Achievements include: </w:t>
      </w:r>
    </w:p>
    <w:p w:rsidR="00D67A98" w:rsidRDefault="00D67A98" w:rsidP="00E47388">
      <w:pPr>
        <w:pStyle w:val="ListParagraph"/>
        <w:numPr>
          <w:ilvl w:val="0"/>
          <w:numId w:val="4"/>
        </w:numPr>
        <w:spacing w:after="120"/>
        <w:ind w:left="714" w:hanging="357"/>
        <w:contextualSpacing w:val="0"/>
        <w:jc w:val="both"/>
        <w:rPr>
          <w:rFonts w:asciiTheme="majorHAnsi" w:hAnsiTheme="majorHAnsi" w:cs="Arial"/>
          <w:bCs/>
          <w:sz w:val="28"/>
          <w:szCs w:val="28"/>
        </w:rPr>
      </w:pPr>
      <w:r>
        <w:rPr>
          <w:rFonts w:asciiTheme="majorHAnsi" w:hAnsiTheme="majorHAnsi" w:cs="Arial"/>
          <w:bCs/>
          <w:sz w:val="28"/>
          <w:szCs w:val="28"/>
        </w:rPr>
        <w:t>Strengthening of disaster risk management legislation (Di</w:t>
      </w:r>
      <w:r w:rsidRPr="00D67A98">
        <w:rPr>
          <w:rFonts w:asciiTheme="majorHAnsi" w:hAnsiTheme="majorHAnsi" w:cs="Arial"/>
          <w:bCs/>
          <w:sz w:val="28"/>
          <w:szCs w:val="28"/>
        </w:rPr>
        <w:t>saster and Emergency Management Act (2007)</w:t>
      </w:r>
      <w:r>
        <w:rPr>
          <w:rFonts w:asciiTheme="majorHAnsi" w:hAnsiTheme="majorHAnsi" w:cs="Arial"/>
          <w:bCs/>
          <w:sz w:val="28"/>
          <w:szCs w:val="28"/>
        </w:rPr>
        <w:t>)</w:t>
      </w:r>
    </w:p>
    <w:p w:rsidR="00906ED7" w:rsidRDefault="00906ED7" w:rsidP="00E47388">
      <w:pPr>
        <w:pStyle w:val="ListParagraph"/>
        <w:numPr>
          <w:ilvl w:val="0"/>
          <w:numId w:val="4"/>
        </w:numPr>
        <w:spacing w:after="120"/>
        <w:ind w:left="714" w:hanging="357"/>
        <w:contextualSpacing w:val="0"/>
        <w:jc w:val="both"/>
        <w:rPr>
          <w:rFonts w:asciiTheme="majorHAnsi" w:hAnsiTheme="majorHAnsi" w:cs="Arial"/>
          <w:bCs/>
          <w:sz w:val="28"/>
          <w:szCs w:val="28"/>
        </w:rPr>
      </w:pPr>
      <w:r>
        <w:rPr>
          <w:rFonts w:asciiTheme="majorHAnsi" w:hAnsiTheme="majorHAnsi" w:cs="Arial"/>
          <w:bCs/>
          <w:sz w:val="28"/>
          <w:szCs w:val="28"/>
        </w:rPr>
        <w:t>Development of a National Disaster Management Plan (NDMP) in 2006 and revised on 2011 that includes significant guidance on DRR as well as institutional arrangements</w:t>
      </w:r>
    </w:p>
    <w:p w:rsidR="00906ED7" w:rsidRDefault="00906ED7" w:rsidP="00E47388">
      <w:pPr>
        <w:pStyle w:val="ListParagraph"/>
        <w:numPr>
          <w:ilvl w:val="0"/>
          <w:numId w:val="4"/>
        </w:numPr>
        <w:spacing w:after="120"/>
        <w:ind w:left="714" w:hanging="357"/>
        <w:contextualSpacing w:val="0"/>
        <w:jc w:val="both"/>
        <w:rPr>
          <w:rFonts w:asciiTheme="majorHAnsi" w:hAnsiTheme="majorHAnsi" w:cs="Arial"/>
          <w:bCs/>
          <w:sz w:val="28"/>
          <w:szCs w:val="28"/>
        </w:rPr>
      </w:pPr>
      <w:r>
        <w:rPr>
          <w:rFonts w:asciiTheme="majorHAnsi" w:hAnsiTheme="majorHAnsi" w:cs="Arial"/>
          <w:bCs/>
          <w:sz w:val="28"/>
          <w:szCs w:val="28"/>
        </w:rPr>
        <w:t>Development of a 5-year National Action Plan for Disaster Risk Management (DRM NAP) in 2011</w:t>
      </w:r>
    </w:p>
    <w:p w:rsidR="00906ED7" w:rsidRDefault="00906ED7" w:rsidP="00E47388">
      <w:pPr>
        <w:pStyle w:val="ListParagraph"/>
        <w:numPr>
          <w:ilvl w:val="0"/>
          <w:numId w:val="4"/>
        </w:numPr>
        <w:spacing w:after="120"/>
        <w:ind w:left="714" w:hanging="357"/>
        <w:contextualSpacing w:val="0"/>
        <w:jc w:val="both"/>
        <w:rPr>
          <w:rFonts w:asciiTheme="majorHAnsi" w:hAnsiTheme="majorHAnsi" w:cs="Arial"/>
          <w:bCs/>
          <w:sz w:val="28"/>
          <w:szCs w:val="28"/>
        </w:rPr>
      </w:pPr>
      <w:r>
        <w:rPr>
          <w:rFonts w:asciiTheme="majorHAnsi" w:hAnsiTheme="majorHAnsi" w:cs="Arial"/>
          <w:bCs/>
          <w:sz w:val="28"/>
          <w:szCs w:val="28"/>
        </w:rPr>
        <w:t>Upgrade of the Disaster Management Office to a fully fledged ‘division’ in 2012</w:t>
      </w:r>
    </w:p>
    <w:p w:rsidR="00906ED7" w:rsidRDefault="00906ED7" w:rsidP="00E47388">
      <w:pPr>
        <w:pStyle w:val="ListParagraph"/>
        <w:numPr>
          <w:ilvl w:val="0"/>
          <w:numId w:val="4"/>
        </w:numPr>
        <w:spacing w:after="120"/>
        <w:ind w:left="714" w:hanging="357"/>
        <w:contextualSpacing w:val="0"/>
        <w:jc w:val="both"/>
        <w:rPr>
          <w:rFonts w:asciiTheme="majorHAnsi" w:hAnsiTheme="majorHAnsi" w:cs="Arial"/>
          <w:bCs/>
          <w:sz w:val="28"/>
          <w:szCs w:val="28"/>
        </w:rPr>
      </w:pPr>
      <w:r>
        <w:rPr>
          <w:rFonts w:asciiTheme="majorHAnsi" w:hAnsiTheme="majorHAnsi" w:cs="Arial"/>
          <w:bCs/>
          <w:sz w:val="28"/>
          <w:szCs w:val="28"/>
        </w:rPr>
        <w:t>Upgrade of tsunami early warning system, planning of evacuation routes and signage.</w:t>
      </w:r>
    </w:p>
    <w:p w:rsidR="006B7FCE" w:rsidRDefault="006B7FCE" w:rsidP="00E47388">
      <w:pPr>
        <w:pStyle w:val="ListParagraph"/>
        <w:numPr>
          <w:ilvl w:val="0"/>
          <w:numId w:val="4"/>
        </w:numPr>
        <w:spacing w:after="120"/>
        <w:ind w:left="714" w:hanging="357"/>
        <w:contextualSpacing w:val="0"/>
        <w:jc w:val="both"/>
        <w:rPr>
          <w:rFonts w:asciiTheme="majorHAnsi" w:hAnsiTheme="majorHAnsi" w:cs="Arial"/>
          <w:bCs/>
          <w:sz w:val="28"/>
          <w:szCs w:val="28"/>
        </w:rPr>
      </w:pPr>
      <w:r>
        <w:rPr>
          <w:rFonts w:asciiTheme="majorHAnsi" w:hAnsiTheme="majorHAnsi" w:cs="Arial"/>
          <w:bCs/>
          <w:sz w:val="28"/>
          <w:szCs w:val="28"/>
        </w:rPr>
        <w:t xml:space="preserve">Development of </w:t>
      </w:r>
      <w:r w:rsidRPr="006B7FCE">
        <w:rPr>
          <w:rFonts w:asciiTheme="majorHAnsi" w:hAnsiTheme="majorHAnsi" w:cs="Arial"/>
          <w:bCs/>
          <w:sz w:val="28"/>
          <w:szCs w:val="28"/>
        </w:rPr>
        <w:t>Coastal Infrastructure Management</w:t>
      </w:r>
      <w:r>
        <w:rPr>
          <w:rFonts w:asciiTheme="majorHAnsi" w:hAnsiTheme="majorHAnsi" w:cs="Arial"/>
          <w:bCs/>
          <w:sz w:val="28"/>
          <w:szCs w:val="28"/>
        </w:rPr>
        <w:t xml:space="preserve"> Plans (CIM Plans) for all coastal districts in Samoa. </w:t>
      </w:r>
      <w:r w:rsidRPr="006B7FCE">
        <w:rPr>
          <w:rFonts w:asciiTheme="majorHAnsi" w:hAnsiTheme="majorHAnsi" w:cs="Arial"/>
          <w:bCs/>
          <w:sz w:val="28"/>
          <w:szCs w:val="28"/>
        </w:rPr>
        <w:t>The CIM plans contain local assessments of flooding and coastal erosion, and provide maps of Coastal Erosion Hazard Zones and Coastal Flooding Hazard Zones.</w:t>
      </w:r>
    </w:p>
    <w:p w:rsidR="006B7FCE" w:rsidRDefault="006B7FCE" w:rsidP="00E47388">
      <w:pPr>
        <w:pStyle w:val="ListParagraph"/>
        <w:numPr>
          <w:ilvl w:val="0"/>
          <w:numId w:val="4"/>
        </w:numPr>
        <w:spacing w:after="120"/>
        <w:ind w:left="714" w:hanging="357"/>
        <w:contextualSpacing w:val="0"/>
        <w:rPr>
          <w:rFonts w:asciiTheme="majorHAnsi" w:hAnsiTheme="majorHAnsi" w:cs="Arial"/>
          <w:bCs/>
          <w:sz w:val="28"/>
          <w:szCs w:val="28"/>
          <w:lang w:val="en-AU"/>
        </w:rPr>
      </w:pPr>
      <w:r>
        <w:rPr>
          <w:rFonts w:asciiTheme="majorHAnsi" w:hAnsiTheme="majorHAnsi" w:cs="Arial"/>
          <w:bCs/>
          <w:sz w:val="28"/>
          <w:szCs w:val="28"/>
          <w:lang w:val="en-AU"/>
        </w:rPr>
        <w:t xml:space="preserve">Climate Change achievements include baseline research and reporting to the UNFCCC as well as the development of a National Adaptation Programme of Action in 2004. A number of projects </w:t>
      </w:r>
      <w:r>
        <w:rPr>
          <w:rFonts w:asciiTheme="majorHAnsi" w:hAnsiTheme="majorHAnsi" w:cs="Arial"/>
          <w:bCs/>
          <w:sz w:val="28"/>
          <w:szCs w:val="28"/>
          <w:lang w:val="en-AU"/>
        </w:rPr>
        <w:lastRenderedPageBreak/>
        <w:t>have already taken place, are current, or are in the pipeline to address implementation of the NAPA.</w:t>
      </w:r>
    </w:p>
    <w:p w:rsidR="00DB498A" w:rsidRDefault="00DB498A" w:rsidP="00E47388">
      <w:pPr>
        <w:pStyle w:val="ListParagraph"/>
        <w:numPr>
          <w:ilvl w:val="0"/>
          <w:numId w:val="4"/>
        </w:numPr>
        <w:spacing w:after="240"/>
        <w:ind w:left="714" w:hanging="357"/>
        <w:contextualSpacing w:val="0"/>
        <w:rPr>
          <w:rFonts w:asciiTheme="majorHAnsi" w:hAnsiTheme="majorHAnsi" w:cs="Arial"/>
          <w:bCs/>
          <w:sz w:val="28"/>
          <w:szCs w:val="28"/>
          <w:lang w:val="en-AU"/>
        </w:rPr>
      </w:pPr>
      <w:r>
        <w:rPr>
          <w:rFonts w:asciiTheme="majorHAnsi" w:hAnsiTheme="majorHAnsi" w:cs="Arial"/>
          <w:bCs/>
          <w:sz w:val="28"/>
          <w:szCs w:val="28"/>
          <w:lang w:val="en-AU"/>
        </w:rPr>
        <w:t>Joint programming of disaster risk management and climate change at the community level</w:t>
      </w:r>
    </w:p>
    <w:p w:rsidR="00D67A98" w:rsidRDefault="00D67A98" w:rsidP="006B7FCE">
      <w:pPr>
        <w:rPr>
          <w:rFonts w:asciiTheme="majorHAnsi" w:hAnsiTheme="majorHAnsi" w:cs="Arial"/>
          <w:bCs/>
          <w:sz w:val="28"/>
          <w:szCs w:val="28"/>
          <w:lang w:val="en-AU"/>
        </w:rPr>
      </w:pPr>
    </w:p>
    <w:p w:rsidR="006B7FCE" w:rsidRPr="00E47388" w:rsidRDefault="006B7FCE" w:rsidP="006B7FCE">
      <w:pPr>
        <w:rPr>
          <w:rFonts w:asciiTheme="majorHAnsi" w:hAnsiTheme="majorHAnsi" w:cs="Arial"/>
          <w:bCs/>
          <w:i/>
          <w:sz w:val="28"/>
          <w:szCs w:val="28"/>
          <w:lang w:val="en-AU"/>
        </w:rPr>
      </w:pPr>
      <w:r w:rsidRPr="00E47388">
        <w:rPr>
          <w:rFonts w:asciiTheme="majorHAnsi" w:hAnsiTheme="majorHAnsi" w:cs="Arial"/>
          <w:bCs/>
          <w:i/>
          <w:sz w:val="28"/>
          <w:szCs w:val="28"/>
          <w:lang w:val="en-AU"/>
        </w:rPr>
        <w:t>Factors contributing to these achievements include:</w:t>
      </w:r>
    </w:p>
    <w:p w:rsidR="006B7FCE" w:rsidRDefault="006B7FCE" w:rsidP="006B7FCE">
      <w:pPr>
        <w:rPr>
          <w:rFonts w:asciiTheme="majorHAnsi" w:hAnsiTheme="majorHAnsi" w:cs="Arial"/>
          <w:bCs/>
          <w:sz w:val="28"/>
          <w:szCs w:val="28"/>
          <w:lang w:val="en-AU"/>
        </w:rPr>
      </w:pPr>
    </w:p>
    <w:p w:rsidR="006B7FCE" w:rsidRDefault="006B7FCE" w:rsidP="00E47388">
      <w:pPr>
        <w:pStyle w:val="ListParagraph"/>
        <w:numPr>
          <w:ilvl w:val="0"/>
          <w:numId w:val="6"/>
        </w:numPr>
        <w:spacing w:after="120"/>
        <w:ind w:left="714" w:hanging="357"/>
        <w:contextualSpacing w:val="0"/>
        <w:rPr>
          <w:rFonts w:asciiTheme="majorHAnsi" w:hAnsiTheme="majorHAnsi" w:cs="Arial"/>
          <w:bCs/>
          <w:sz w:val="28"/>
          <w:szCs w:val="28"/>
          <w:lang w:val="en-AU"/>
        </w:rPr>
      </w:pPr>
      <w:r>
        <w:rPr>
          <w:rFonts w:asciiTheme="majorHAnsi" w:hAnsiTheme="majorHAnsi" w:cs="Arial"/>
          <w:bCs/>
          <w:sz w:val="28"/>
          <w:szCs w:val="28"/>
          <w:lang w:val="en-AU"/>
        </w:rPr>
        <w:t xml:space="preserve">Growing political appreciation for the importance of disaster risk reduction and </w:t>
      </w:r>
      <w:r w:rsidR="00DB498A">
        <w:rPr>
          <w:rFonts w:asciiTheme="majorHAnsi" w:hAnsiTheme="majorHAnsi" w:cs="Arial"/>
          <w:bCs/>
          <w:sz w:val="28"/>
          <w:szCs w:val="28"/>
          <w:lang w:val="en-AU"/>
        </w:rPr>
        <w:t>climate change.</w:t>
      </w:r>
    </w:p>
    <w:p w:rsidR="00DB498A" w:rsidRDefault="00DB498A" w:rsidP="00E47388">
      <w:pPr>
        <w:pStyle w:val="ListParagraph"/>
        <w:numPr>
          <w:ilvl w:val="0"/>
          <w:numId w:val="6"/>
        </w:numPr>
        <w:spacing w:after="120"/>
        <w:ind w:left="714" w:hanging="357"/>
        <w:contextualSpacing w:val="0"/>
        <w:rPr>
          <w:rFonts w:asciiTheme="majorHAnsi" w:hAnsiTheme="majorHAnsi" w:cs="Arial"/>
          <w:bCs/>
          <w:sz w:val="28"/>
          <w:szCs w:val="28"/>
          <w:lang w:val="en-AU"/>
        </w:rPr>
      </w:pPr>
      <w:r>
        <w:rPr>
          <w:rFonts w:asciiTheme="majorHAnsi" w:hAnsiTheme="majorHAnsi" w:cs="Arial"/>
          <w:bCs/>
          <w:sz w:val="28"/>
          <w:szCs w:val="28"/>
          <w:lang w:val="en-AU"/>
        </w:rPr>
        <w:t>Increased engagement of regional and international development organisations on issues of disaster risk management and climate change.</w:t>
      </w:r>
    </w:p>
    <w:p w:rsidR="00DB498A" w:rsidRDefault="00DB498A" w:rsidP="00E47388">
      <w:pPr>
        <w:pStyle w:val="ListParagraph"/>
        <w:numPr>
          <w:ilvl w:val="0"/>
          <w:numId w:val="6"/>
        </w:numPr>
        <w:spacing w:after="120"/>
        <w:ind w:left="714" w:hanging="357"/>
        <w:contextualSpacing w:val="0"/>
        <w:rPr>
          <w:rFonts w:asciiTheme="majorHAnsi" w:hAnsiTheme="majorHAnsi" w:cs="Arial"/>
          <w:bCs/>
          <w:sz w:val="28"/>
          <w:szCs w:val="28"/>
          <w:lang w:val="en-AU"/>
        </w:rPr>
      </w:pPr>
      <w:r>
        <w:rPr>
          <w:rFonts w:asciiTheme="majorHAnsi" w:hAnsiTheme="majorHAnsi" w:cs="Arial"/>
          <w:bCs/>
          <w:sz w:val="28"/>
          <w:szCs w:val="28"/>
          <w:lang w:val="en-AU"/>
        </w:rPr>
        <w:t>Multi-sector nature of disaster risk management and climate change ensured that awareness of these issues was raised in a broad range of national agencies, mostly through their sectoral channels of regional and international cooperation.</w:t>
      </w:r>
    </w:p>
    <w:p w:rsidR="00DB498A" w:rsidRDefault="00DB498A" w:rsidP="00E47388">
      <w:pPr>
        <w:pStyle w:val="ListParagraph"/>
        <w:numPr>
          <w:ilvl w:val="0"/>
          <w:numId w:val="6"/>
        </w:numPr>
        <w:spacing w:after="240"/>
        <w:ind w:left="714" w:hanging="357"/>
        <w:contextualSpacing w:val="0"/>
        <w:rPr>
          <w:rFonts w:asciiTheme="majorHAnsi" w:hAnsiTheme="majorHAnsi" w:cs="Arial"/>
          <w:bCs/>
          <w:sz w:val="28"/>
          <w:szCs w:val="28"/>
          <w:lang w:val="en-AU"/>
        </w:rPr>
      </w:pPr>
      <w:r>
        <w:rPr>
          <w:rFonts w:asciiTheme="majorHAnsi" w:hAnsiTheme="majorHAnsi" w:cs="Arial"/>
          <w:bCs/>
          <w:sz w:val="28"/>
          <w:szCs w:val="28"/>
          <w:lang w:val="en-AU"/>
        </w:rPr>
        <w:t>Importance attributed to disaster risk management and climate change as a development issue at the regional and international level.</w:t>
      </w:r>
    </w:p>
    <w:p w:rsidR="00DB498A" w:rsidRPr="00DB498A" w:rsidRDefault="00DB498A" w:rsidP="00DB498A">
      <w:pPr>
        <w:rPr>
          <w:rFonts w:asciiTheme="majorHAnsi" w:hAnsiTheme="majorHAnsi" w:cs="Arial"/>
          <w:bCs/>
          <w:sz w:val="28"/>
          <w:szCs w:val="28"/>
          <w:lang w:val="en-AU"/>
        </w:rPr>
      </w:pPr>
    </w:p>
    <w:p w:rsidR="00D67A98" w:rsidRPr="00E47388" w:rsidRDefault="00DB498A" w:rsidP="00D67A98">
      <w:pPr>
        <w:spacing w:after="240"/>
        <w:jc w:val="both"/>
        <w:rPr>
          <w:rFonts w:asciiTheme="majorHAnsi" w:hAnsiTheme="majorHAnsi" w:cs="Arial"/>
          <w:bCs/>
          <w:i/>
          <w:sz w:val="28"/>
          <w:szCs w:val="28"/>
        </w:rPr>
      </w:pPr>
      <w:r w:rsidRPr="00E47388">
        <w:rPr>
          <w:rFonts w:asciiTheme="majorHAnsi" w:hAnsiTheme="majorHAnsi" w:cs="Arial"/>
          <w:bCs/>
          <w:i/>
          <w:sz w:val="28"/>
          <w:szCs w:val="28"/>
        </w:rPr>
        <w:t>Major challenges include:</w:t>
      </w:r>
    </w:p>
    <w:p w:rsidR="00DB498A" w:rsidRDefault="00DB498A" w:rsidP="00DB498A">
      <w:pPr>
        <w:pStyle w:val="ListParagraph"/>
        <w:numPr>
          <w:ilvl w:val="0"/>
          <w:numId w:val="7"/>
        </w:numPr>
        <w:spacing w:after="240"/>
        <w:jc w:val="both"/>
        <w:rPr>
          <w:rFonts w:asciiTheme="majorHAnsi" w:hAnsiTheme="majorHAnsi" w:cs="Arial"/>
          <w:bCs/>
          <w:sz w:val="28"/>
          <w:szCs w:val="28"/>
        </w:rPr>
      </w:pPr>
      <w:r>
        <w:rPr>
          <w:rFonts w:asciiTheme="majorHAnsi" w:hAnsiTheme="majorHAnsi" w:cs="Arial"/>
          <w:bCs/>
          <w:sz w:val="28"/>
          <w:szCs w:val="28"/>
        </w:rPr>
        <w:t>Disaster Management Office is under-resourced in terms of core operating budget and equipment.</w:t>
      </w:r>
    </w:p>
    <w:p w:rsidR="00DB498A" w:rsidRDefault="00DB498A" w:rsidP="00DB498A">
      <w:pPr>
        <w:pStyle w:val="ListParagraph"/>
        <w:numPr>
          <w:ilvl w:val="0"/>
          <w:numId w:val="7"/>
        </w:numPr>
        <w:spacing w:after="240"/>
        <w:jc w:val="both"/>
        <w:rPr>
          <w:rFonts w:asciiTheme="majorHAnsi" w:hAnsiTheme="majorHAnsi" w:cs="Arial"/>
          <w:bCs/>
          <w:sz w:val="28"/>
          <w:szCs w:val="28"/>
        </w:rPr>
      </w:pPr>
      <w:r>
        <w:rPr>
          <w:rFonts w:asciiTheme="majorHAnsi" w:hAnsiTheme="majorHAnsi" w:cs="Arial"/>
          <w:bCs/>
          <w:sz w:val="28"/>
          <w:szCs w:val="28"/>
        </w:rPr>
        <w:t>Integrity of the Development Consent Process and EIAs – too many questionable developments still taking place.</w:t>
      </w:r>
    </w:p>
    <w:p w:rsidR="00DB498A" w:rsidRDefault="00B47B91" w:rsidP="00DB498A">
      <w:pPr>
        <w:pStyle w:val="ListParagraph"/>
        <w:numPr>
          <w:ilvl w:val="0"/>
          <w:numId w:val="7"/>
        </w:numPr>
        <w:spacing w:after="240"/>
        <w:jc w:val="both"/>
        <w:rPr>
          <w:rFonts w:asciiTheme="majorHAnsi" w:hAnsiTheme="majorHAnsi" w:cs="Arial"/>
          <w:bCs/>
          <w:sz w:val="28"/>
          <w:szCs w:val="28"/>
        </w:rPr>
      </w:pPr>
      <w:r>
        <w:rPr>
          <w:rFonts w:asciiTheme="majorHAnsi" w:hAnsiTheme="majorHAnsi" w:cs="Arial"/>
          <w:bCs/>
          <w:sz w:val="28"/>
          <w:szCs w:val="28"/>
        </w:rPr>
        <w:t>No dedicated government budget for community-level DRM and CC activities</w:t>
      </w:r>
    </w:p>
    <w:p w:rsidR="00B47B91" w:rsidRDefault="00B47B91" w:rsidP="00DB498A">
      <w:pPr>
        <w:pStyle w:val="ListParagraph"/>
        <w:numPr>
          <w:ilvl w:val="0"/>
          <w:numId w:val="7"/>
        </w:numPr>
        <w:spacing w:after="240"/>
        <w:jc w:val="both"/>
        <w:rPr>
          <w:rFonts w:asciiTheme="majorHAnsi" w:hAnsiTheme="majorHAnsi" w:cs="Arial"/>
          <w:bCs/>
          <w:sz w:val="28"/>
          <w:szCs w:val="28"/>
        </w:rPr>
      </w:pPr>
      <w:r>
        <w:rPr>
          <w:rFonts w:asciiTheme="majorHAnsi" w:hAnsiTheme="majorHAnsi" w:cs="Arial"/>
          <w:bCs/>
          <w:sz w:val="28"/>
          <w:szCs w:val="28"/>
        </w:rPr>
        <w:t>Weaknesses in governance capacity</w:t>
      </w:r>
    </w:p>
    <w:p w:rsidR="00B47B91" w:rsidRDefault="00B47B91" w:rsidP="00DB498A">
      <w:pPr>
        <w:pStyle w:val="ListParagraph"/>
        <w:numPr>
          <w:ilvl w:val="0"/>
          <w:numId w:val="7"/>
        </w:numPr>
        <w:spacing w:after="240"/>
        <w:jc w:val="both"/>
        <w:rPr>
          <w:rFonts w:asciiTheme="majorHAnsi" w:hAnsiTheme="majorHAnsi" w:cs="Arial"/>
          <w:bCs/>
          <w:sz w:val="28"/>
          <w:szCs w:val="28"/>
        </w:rPr>
      </w:pPr>
      <w:r>
        <w:rPr>
          <w:rFonts w:asciiTheme="majorHAnsi" w:hAnsiTheme="majorHAnsi" w:cs="Arial"/>
          <w:bCs/>
          <w:sz w:val="28"/>
          <w:szCs w:val="28"/>
        </w:rPr>
        <w:t>Lack of support for ‘soft’ coastal protection measures as opposed to sea walls/</w:t>
      </w:r>
    </w:p>
    <w:p w:rsidR="00B47B91" w:rsidRDefault="00B47B91" w:rsidP="00E47388">
      <w:pPr>
        <w:pStyle w:val="ListParagraph"/>
        <w:numPr>
          <w:ilvl w:val="0"/>
          <w:numId w:val="7"/>
        </w:numPr>
        <w:spacing w:after="240"/>
        <w:ind w:left="714" w:hanging="357"/>
        <w:contextualSpacing w:val="0"/>
        <w:jc w:val="both"/>
        <w:rPr>
          <w:rFonts w:asciiTheme="majorHAnsi" w:hAnsiTheme="majorHAnsi" w:cs="Arial"/>
          <w:bCs/>
          <w:sz w:val="28"/>
          <w:szCs w:val="28"/>
        </w:rPr>
      </w:pPr>
      <w:r>
        <w:rPr>
          <w:rFonts w:asciiTheme="majorHAnsi" w:hAnsiTheme="majorHAnsi" w:cs="Arial"/>
          <w:bCs/>
          <w:sz w:val="28"/>
          <w:szCs w:val="28"/>
        </w:rPr>
        <w:t>Political expediency in the distribution and de</w:t>
      </w:r>
      <w:r w:rsidR="00E47388">
        <w:rPr>
          <w:rFonts w:asciiTheme="majorHAnsi" w:hAnsiTheme="majorHAnsi" w:cs="Arial"/>
          <w:bCs/>
          <w:sz w:val="28"/>
          <w:szCs w:val="28"/>
        </w:rPr>
        <w:t>s</w:t>
      </w:r>
      <w:r>
        <w:rPr>
          <w:rFonts w:asciiTheme="majorHAnsi" w:hAnsiTheme="majorHAnsi" w:cs="Arial"/>
          <w:bCs/>
          <w:sz w:val="28"/>
          <w:szCs w:val="28"/>
        </w:rPr>
        <w:t>ign of infrastructure development</w:t>
      </w:r>
    </w:p>
    <w:p w:rsidR="00E47388" w:rsidRDefault="00E47388" w:rsidP="00565C0A">
      <w:pPr>
        <w:pStyle w:val="ListParagraph"/>
        <w:ind w:left="714"/>
        <w:contextualSpacing w:val="0"/>
        <w:jc w:val="both"/>
        <w:rPr>
          <w:rFonts w:asciiTheme="majorHAnsi" w:hAnsiTheme="majorHAnsi" w:cs="Arial"/>
          <w:bCs/>
          <w:sz w:val="28"/>
          <w:szCs w:val="28"/>
        </w:rPr>
      </w:pPr>
    </w:p>
    <w:p w:rsidR="008D572E" w:rsidRDefault="008D572E" w:rsidP="00565C0A">
      <w:pPr>
        <w:pStyle w:val="ListParagraph"/>
        <w:ind w:left="714"/>
        <w:contextualSpacing w:val="0"/>
        <w:jc w:val="both"/>
        <w:rPr>
          <w:rFonts w:asciiTheme="majorHAnsi" w:hAnsiTheme="majorHAnsi" w:cs="Arial"/>
          <w:bCs/>
          <w:sz w:val="28"/>
          <w:szCs w:val="28"/>
        </w:rPr>
      </w:pPr>
    </w:p>
    <w:p w:rsidR="008D572E" w:rsidRDefault="008D572E" w:rsidP="00565C0A">
      <w:pPr>
        <w:pStyle w:val="ListParagraph"/>
        <w:ind w:left="714"/>
        <w:contextualSpacing w:val="0"/>
        <w:jc w:val="both"/>
        <w:rPr>
          <w:rFonts w:asciiTheme="majorHAnsi" w:hAnsiTheme="majorHAnsi" w:cs="Arial"/>
          <w:bCs/>
          <w:sz w:val="28"/>
          <w:szCs w:val="28"/>
        </w:rPr>
      </w:pPr>
    </w:p>
    <w:p w:rsidR="008D572E" w:rsidRDefault="008D572E" w:rsidP="00565C0A">
      <w:pPr>
        <w:pStyle w:val="ListParagraph"/>
        <w:ind w:left="714"/>
        <w:contextualSpacing w:val="0"/>
        <w:jc w:val="both"/>
        <w:rPr>
          <w:rFonts w:asciiTheme="majorHAnsi" w:hAnsiTheme="majorHAnsi" w:cs="Arial"/>
          <w:bCs/>
          <w:sz w:val="28"/>
          <w:szCs w:val="28"/>
        </w:rPr>
      </w:pPr>
    </w:p>
    <w:p w:rsidR="00B47B91" w:rsidRPr="00E47388" w:rsidRDefault="00B47B91" w:rsidP="00B47B91">
      <w:pPr>
        <w:spacing w:after="240"/>
        <w:jc w:val="both"/>
        <w:rPr>
          <w:rFonts w:asciiTheme="majorHAnsi" w:hAnsiTheme="majorHAnsi" w:cs="Arial"/>
          <w:bCs/>
          <w:i/>
          <w:sz w:val="28"/>
          <w:szCs w:val="28"/>
          <w:lang w:val="en-AU"/>
        </w:rPr>
      </w:pPr>
      <w:r w:rsidRPr="00E47388">
        <w:rPr>
          <w:rFonts w:asciiTheme="majorHAnsi" w:hAnsiTheme="majorHAnsi" w:cs="Arial"/>
          <w:bCs/>
          <w:i/>
          <w:sz w:val="28"/>
          <w:szCs w:val="28"/>
          <w:lang w:val="en-AU"/>
        </w:rPr>
        <w:lastRenderedPageBreak/>
        <w:t>Factors contributing to these challenges include:</w:t>
      </w:r>
    </w:p>
    <w:p w:rsidR="00B47B91" w:rsidRDefault="00B47B91" w:rsidP="00E47388">
      <w:pPr>
        <w:pStyle w:val="ListParagraph"/>
        <w:numPr>
          <w:ilvl w:val="0"/>
          <w:numId w:val="8"/>
        </w:numPr>
        <w:spacing w:after="120"/>
        <w:ind w:left="709" w:hanging="284"/>
        <w:contextualSpacing w:val="0"/>
        <w:jc w:val="both"/>
        <w:rPr>
          <w:rFonts w:asciiTheme="majorHAnsi" w:hAnsiTheme="majorHAnsi" w:cs="Arial"/>
          <w:bCs/>
          <w:sz w:val="28"/>
          <w:szCs w:val="28"/>
          <w:lang w:val="en-AU"/>
        </w:rPr>
      </w:pPr>
      <w:r>
        <w:rPr>
          <w:rFonts w:asciiTheme="majorHAnsi" w:hAnsiTheme="majorHAnsi" w:cs="Arial"/>
          <w:bCs/>
          <w:sz w:val="28"/>
          <w:szCs w:val="28"/>
          <w:lang w:val="en-AU"/>
        </w:rPr>
        <w:t>In a highly competitive environment, government planners do not see DRM and CC as a core government development function, preferring to rely on funding from development partners.</w:t>
      </w:r>
    </w:p>
    <w:p w:rsidR="00B47B91" w:rsidRDefault="00B47B91" w:rsidP="00E47388">
      <w:pPr>
        <w:pStyle w:val="ListParagraph"/>
        <w:numPr>
          <w:ilvl w:val="0"/>
          <w:numId w:val="8"/>
        </w:numPr>
        <w:spacing w:after="120"/>
        <w:ind w:left="709" w:hanging="284"/>
        <w:contextualSpacing w:val="0"/>
        <w:jc w:val="both"/>
        <w:rPr>
          <w:rFonts w:asciiTheme="majorHAnsi" w:hAnsiTheme="majorHAnsi" w:cs="Arial"/>
          <w:bCs/>
          <w:sz w:val="28"/>
          <w:szCs w:val="28"/>
          <w:lang w:val="en-AU"/>
        </w:rPr>
      </w:pPr>
      <w:r>
        <w:rPr>
          <w:rFonts w:asciiTheme="majorHAnsi" w:hAnsiTheme="majorHAnsi" w:cs="Arial"/>
          <w:bCs/>
          <w:sz w:val="28"/>
          <w:szCs w:val="28"/>
          <w:lang w:val="en-AU"/>
        </w:rPr>
        <w:t>Climate change is viewed as having its origins in developed countries with the feeling being that developed countries should pay for the negative impacts on small island countries.</w:t>
      </w:r>
    </w:p>
    <w:p w:rsidR="00E47388" w:rsidRDefault="00E47388" w:rsidP="00B47B91">
      <w:pPr>
        <w:pStyle w:val="ListParagraph"/>
        <w:numPr>
          <w:ilvl w:val="0"/>
          <w:numId w:val="8"/>
        </w:numPr>
        <w:spacing w:after="240"/>
        <w:ind w:left="709" w:hanging="283"/>
        <w:jc w:val="both"/>
        <w:rPr>
          <w:rFonts w:asciiTheme="majorHAnsi" w:hAnsiTheme="majorHAnsi" w:cs="Arial"/>
          <w:bCs/>
          <w:sz w:val="28"/>
          <w:szCs w:val="28"/>
          <w:lang w:val="en-AU"/>
        </w:rPr>
      </w:pPr>
      <w:r>
        <w:rPr>
          <w:rFonts w:asciiTheme="majorHAnsi" w:hAnsiTheme="majorHAnsi" w:cs="Arial"/>
          <w:bCs/>
          <w:sz w:val="28"/>
          <w:szCs w:val="28"/>
          <w:lang w:val="en-AU"/>
        </w:rPr>
        <w:t>DRM and CC are exploited for political gain – politicians are quick to respond after a disaster, often with unrealistic promises of assistance.</w:t>
      </w:r>
    </w:p>
    <w:p w:rsidR="00E47388" w:rsidRPr="00B47B91" w:rsidRDefault="00E47388" w:rsidP="00E47388">
      <w:pPr>
        <w:pStyle w:val="ListParagraph"/>
        <w:spacing w:after="240"/>
        <w:ind w:left="709"/>
        <w:jc w:val="both"/>
        <w:rPr>
          <w:rFonts w:asciiTheme="majorHAnsi" w:hAnsiTheme="majorHAnsi" w:cs="Arial"/>
          <w:bCs/>
          <w:sz w:val="28"/>
          <w:szCs w:val="28"/>
          <w:lang w:val="en-AU"/>
        </w:rPr>
      </w:pPr>
    </w:p>
    <w:p w:rsidR="00D67A98" w:rsidRPr="00E47388" w:rsidRDefault="00E47388" w:rsidP="00E47388">
      <w:pPr>
        <w:spacing w:after="240"/>
        <w:jc w:val="both"/>
        <w:rPr>
          <w:rFonts w:asciiTheme="majorHAnsi" w:hAnsiTheme="majorHAnsi" w:cs="Arial"/>
          <w:bCs/>
          <w:i/>
          <w:sz w:val="28"/>
          <w:szCs w:val="28"/>
        </w:rPr>
      </w:pPr>
      <w:r w:rsidRPr="00E47388">
        <w:rPr>
          <w:rFonts w:asciiTheme="majorHAnsi" w:hAnsiTheme="majorHAnsi" w:cs="Arial"/>
          <w:bCs/>
          <w:i/>
          <w:sz w:val="28"/>
          <w:szCs w:val="28"/>
        </w:rPr>
        <w:t>I</w:t>
      </w:r>
      <w:r w:rsidR="00D67A98" w:rsidRPr="00E47388">
        <w:rPr>
          <w:rFonts w:asciiTheme="majorHAnsi" w:hAnsiTheme="majorHAnsi" w:cs="Arial"/>
          <w:bCs/>
          <w:i/>
          <w:sz w:val="28"/>
          <w:szCs w:val="28"/>
        </w:rPr>
        <w:t>ntegrated regional stra</w:t>
      </w:r>
      <w:r w:rsidRPr="00E47388">
        <w:rPr>
          <w:rFonts w:asciiTheme="majorHAnsi" w:hAnsiTheme="majorHAnsi" w:cs="Arial"/>
          <w:bCs/>
          <w:i/>
          <w:sz w:val="28"/>
          <w:szCs w:val="28"/>
        </w:rPr>
        <w:t>tegy for DRM and Climate Change</w:t>
      </w:r>
    </w:p>
    <w:p w:rsidR="00E47388" w:rsidRDefault="00E47388" w:rsidP="00565C0A">
      <w:pPr>
        <w:spacing w:after="240"/>
        <w:jc w:val="both"/>
        <w:rPr>
          <w:rFonts w:asciiTheme="majorHAnsi" w:hAnsiTheme="majorHAnsi" w:cs="Arial"/>
          <w:bCs/>
          <w:sz w:val="28"/>
          <w:szCs w:val="28"/>
        </w:rPr>
      </w:pPr>
      <w:r w:rsidRPr="00E47388">
        <w:rPr>
          <w:rFonts w:asciiTheme="majorHAnsi" w:hAnsiTheme="majorHAnsi" w:cs="Arial"/>
          <w:bCs/>
          <w:sz w:val="28"/>
          <w:szCs w:val="28"/>
        </w:rPr>
        <w:t xml:space="preserve">Samoan stakeholders were not in favour of combining DRM and Climate Change in a successor arrangement to the </w:t>
      </w:r>
      <w:r>
        <w:rPr>
          <w:rFonts w:asciiTheme="majorHAnsi" w:hAnsiTheme="majorHAnsi" w:cs="Arial"/>
          <w:bCs/>
          <w:sz w:val="28"/>
          <w:szCs w:val="28"/>
        </w:rPr>
        <w:t xml:space="preserve">RFA and </w:t>
      </w:r>
      <w:r w:rsidRPr="00E47388">
        <w:rPr>
          <w:rFonts w:asciiTheme="majorHAnsi" w:hAnsiTheme="majorHAnsi" w:cs="Arial"/>
          <w:bCs/>
          <w:sz w:val="28"/>
          <w:szCs w:val="28"/>
        </w:rPr>
        <w:t xml:space="preserve">HFA. They are comfortable with the current institutional and policy division between the two fields and believe that integration can be meaningfully achieved through joint programming as is happening in Samoa. Samoa has a DRM National Action Plan (NAP) and a Climate Change National Adaptation Plan of Action (NAPA) and is not supportive of current regional trends to develop ‘joint’ DRM and CCA NAPs, or JNAPs. </w:t>
      </w:r>
    </w:p>
    <w:p w:rsidR="00565C0A" w:rsidRDefault="00565C0A" w:rsidP="00565C0A">
      <w:pPr>
        <w:jc w:val="both"/>
        <w:rPr>
          <w:rFonts w:asciiTheme="majorHAnsi" w:hAnsiTheme="majorHAnsi" w:cs="Arial"/>
          <w:bCs/>
          <w:sz w:val="28"/>
          <w:szCs w:val="28"/>
        </w:rPr>
      </w:pPr>
    </w:p>
    <w:p w:rsidR="00D67A98" w:rsidRPr="00E47388" w:rsidRDefault="00E47388" w:rsidP="00E47388">
      <w:pPr>
        <w:spacing w:after="240"/>
        <w:rPr>
          <w:rFonts w:asciiTheme="majorHAnsi" w:hAnsiTheme="majorHAnsi" w:cs="Arial"/>
          <w:bCs/>
          <w:i/>
          <w:sz w:val="28"/>
          <w:szCs w:val="28"/>
        </w:rPr>
      </w:pPr>
      <w:r w:rsidRPr="00E47388">
        <w:rPr>
          <w:rFonts w:asciiTheme="majorHAnsi" w:hAnsiTheme="majorHAnsi" w:cs="Arial"/>
          <w:bCs/>
          <w:i/>
          <w:sz w:val="28"/>
          <w:szCs w:val="28"/>
        </w:rPr>
        <w:t>Significant</w:t>
      </w:r>
      <w:r w:rsidR="00D67A98" w:rsidRPr="00E47388">
        <w:rPr>
          <w:rFonts w:asciiTheme="majorHAnsi" w:hAnsiTheme="majorHAnsi" w:cs="Arial"/>
          <w:bCs/>
          <w:i/>
          <w:sz w:val="28"/>
          <w:szCs w:val="28"/>
        </w:rPr>
        <w:t xml:space="preserve"> elements for DRM and Climate Change that should be addressed in the integ</w:t>
      </w:r>
      <w:r w:rsidR="00F757AB">
        <w:rPr>
          <w:rFonts w:asciiTheme="majorHAnsi" w:hAnsiTheme="majorHAnsi" w:cs="Arial"/>
          <w:bCs/>
          <w:i/>
          <w:sz w:val="28"/>
          <w:szCs w:val="28"/>
        </w:rPr>
        <w:t>rated regional strategy in 2015</w:t>
      </w:r>
    </w:p>
    <w:p w:rsidR="00D67A98" w:rsidRPr="00F336EB" w:rsidRDefault="00E47388" w:rsidP="00F336EB">
      <w:pPr>
        <w:spacing w:after="240"/>
        <w:jc w:val="both"/>
        <w:rPr>
          <w:rFonts w:asciiTheme="majorHAnsi" w:hAnsiTheme="majorHAnsi" w:cs="Arial"/>
          <w:sz w:val="28"/>
          <w:szCs w:val="28"/>
        </w:rPr>
      </w:pPr>
      <w:r w:rsidRPr="00F336EB">
        <w:rPr>
          <w:rFonts w:asciiTheme="majorHAnsi" w:hAnsiTheme="majorHAnsi" w:cs="Arial"/>
          <w:sz w:val="28"/>
          <w:szCs w:val="28"/>
        </w:rPr>
        <w:t>Samoa is in favour of a greater focus on implementation of community level activities, and a lesser focus on policy and planning (mainstreaming), as they felt that much progress had been made in the area of DRM governance.</w:t>
      </w:r>
    </w:p>
    <w:p w:rsidR="00565C0A" w:rsidRDefault="00565C0A" w:rsidP="00F336EB">
      <w:pPr>
        <w:jc w:val="both"/>
        <w:rPr>
          <w:rFonts w:asciiTheme="majorHAnsi" w:hAnsiTheme="majorHAnsi" w:cs="Arial"/>
          <w:sz w:val="28"/>
          <w:szCs w:val="28"/>
        </w:rPr>
      </w:pPr>
    </w:p>
    <w:p w:rsidR="00565C0A" w:rsidRPr="00565C0A" w:rsidRDefault="00565C0A" w:rsidP="00565C0A">
      <w:pPr>
        <w:spacing w:after="240"/>
        <w:jc w:val="both"/>
        <w:rPr>
          <w:rFonts w:asciiTheme="majorHAnsi" w:hAnsiTheme="majorHAnsi" w:cs="Arial"/>
          <w:b/>
          <w:bCs/>
          <w:sz w:val="28"/>
          <w:szCs w:val="28"/>
        </w:rPr>
      </w:pPr>
      <w:r w:rsidRPr="00565C0A">
        <w:rPr>
          <w:rFonts w:asciiTheme="majorHAnsi" w:hAnsiTheme="majorHAnsi" w:cs="Arial"/>
          <w:b/>
          <w:bCs/>
          <w:sz w:val="28"/>
          <w:szCs w:val="28"/>
        </w:rPr>
        <w:t>Disaster/Climate and Development</w:t>
      </w:r>
    </w:p>
    <w:p w:rsidR="00565C0A" w:rsidRDefault="00565C0A" w:rsidP="00565C0A">
      <w:pPr>
        <w:spacing w:after="240"/>
        <w:jc w:val="both"/>
        <w:rPr>
          <w:rFonts w:asciiTheme="majorHAnsi" w:hAnsiTheme="majorHAnsi" w:cs="Arial"/>
          <w:bCs/>
          <w:i/>
          <w:sz w:val="28"/>
          <w:szCs w:val="28"/>
        </w:rPr>
      </w:pPr>
      <w:r w:rsidRPr="00565C0A">
        <w:rPr>
          <w:rFonts w:asciiTheme="majorHAnsi" w:hAnsiTheme="majorHAnsi" w:cs="Arial"/>
          <w:bCs/>
          <w:i/>
          <w:sz w:val="28"/>
          <w:szCs w:val="28"/>
        </w:rPr>
        <w:t xml:space="preserve">Understanding </w:t>
      </w:r>
      <w:r>
        <w:rPr>
          <w:rFonts w:asciiTheme="majorHAnsi" w:hAnsiTheme="majorHAnsi" w:cs="Arial"/>
          <w:bCs/>
          <w:i/>
          <w:sz w:val="28"/>
          <w:szCs w:val="28"/>
        </w:rPr>
        <w:t>of</w:t>
      </w:r>
      <w:r w:rsidRPr="00565C0A">
        <w:rPr>
          <w:rFonts w:asciiTheme="majorHAnsi" w:hAnsiTheme="majorHAnsi" w:cs="Arial"/>
          <w:bCs/>
          <w:i/>
          <w:sz w:val="28"/>
          <w:szCs w:val="28"/>
        </w:rPr>
        <w:t xml:space="preserve"> the relationship be</w:t>
      </w:r>
      <w:r w:rsidR="00F336EB">
        <w:rPr>
          <w:rFonts w:asciiTheme="majorHAnsi" w:hAnsiTheme="majorHAnsi" w:cs="Arial"/>
          <w:bCs/>
          <w:i/>
          <w:sz w:val="28"/>
          <w:szCs w:val="28"/>
        </w:rPr>
        <w:t>tween disasters and development</w:t>
      </w:r>
    </w:p>
    <w:p w:rsidR="00565C0A" w:rsidRDefault="00565C0A" w:rsidP="00565C0A">
      <w:pPr>
        <w:spacing w:after="240"/>
        <w:jc w:val="both"/>
        <w:rPr>
          <w:rFonts w:asciiTheme="majorHAnsi" w:hAnsiTheme="majorHAnsi" w:cs="Arial"/>
          <w:bCs/>
          <w:sz w:val="28"/>
          <w:szCs w:val="28"/>
        </w:rPr>
      </w:pPr>
      <w:r>
        <w:rPr>
          <w:rFonts w:asciiTheme="majorHAnsi" w:hAnsiTheme="majorHAnsi" w:cs="Arial"/>
          <w:bCs/>
          <w:sz w:val="28"/>
          <w:szCs w:val="28"/>
        </w:rPr>
        <w:t xml:space="preserve">Participants had a good understanding of the relationship between disasters and development as well as their vulnerability as a small island state. Awareness of this vulnerability increased significantly after the Samoan Tsunami of 2009 in which </w:t>
      </w:r>
      <w:r w:rsidR="003914F1">
        <w:rPr>
          <w:rFonts w:asciiTheme="majorHAnsi" w:hAnsiTheme="majorHAnsi" w:cs="Arial"/>
          <w:bCs/>
          <w:sz w:val="28"/>
          <w:szCs w:val="28"/>
        </w:rPr>
        <w:t>143</w:t>
      </w:r>
      <w:r w:rsidR="00FD351C">
        <w:rPr>
          <w:rFonts w:asciiTheme="majorHAnsi" w:hAnsiTheme="majorHAnsi" w:cs="Arial"/>
          <w:bCs/>
          <w:sz w:val="28"/>
          <w:szCs w:val="28"/>
        </w:rPr>
        <w:t xml:space="preserve"> people lost their lives. However, </w:t>
      </w:r>
      <w:r w:rsidR="00FD351C">
        <w:rPr>
          <w:rFonts w:asciiTheme="majorHAnsi" w:hAnsiTheme="majorHAnsi" w:cs="Arial"/>
          <w:bCs/>
          <w:sz w:val="28"/>
          <w:szCs w:val="28"/>
        </w:rPr>
        <w:lastRenderedPageBreak/>
        <w:t xml:space="preserve">Samoa’s engagement with disaster risk reduction and mitigation began in 2001 with the </w:t>
      </w:r>
      <w:r w:rsidR="00FD351C" w:rsidRPr="00FD351C">
        <w:rPr>
          <w:rFonts w:asciiTheme="majorHAnsi" w:hAnsiTheme="majorHAnsi" w:cs="Arial"/>
          <w:bCs/>
          <w:sz w:val="28"/>
          <w:szCs w:val="28"/>
        </w:rPr>
        <w:t>first Infrastructure Asset Management Programme (IAMP</w:t>
      </w:r>
      <w:r w:rsidR="00FD351C">
        <w:rPr>
          <w:rFonts w:asciiTheme="majorHAnsi" w:hAnsiTheme="majorHAnsi" w:cs="Arial"/>
          <w:bCs/>
          <w:sz w:val="28"/>
          <w:szCs w:val="28"/>
        </w:rPr>
        <w:t xml:space="preserve">) which later resulted in the drafting of Coastal Infrastructure Management Plans for all districts. Samoa has a dedicated Land Use Management Authority and EIA and Development Consent Processes have been in place since </w:t>
      </w:r>
      <w:r w:rsidR="003914F1">
        <w:rPr>
          <w:rFonts w:asciiTheme="majorHAnsi" w:hAnsiTheme="majorHAnsi" w:cs="Arial"/>
          <w:bCs/>
          <w:sz w:val="28"/>
          <w:szCs w:val="28"/>
        </w:rPr>
        <w:t>the passing of the</w:t>
      </w:r>
      <w:r w:rsidR="003914F1" w:rsidRPr="003914F1">
        <w:rPr>
          <w:rFonts w:asciiTheme="majorHAnsi" w:hAnsiTheme="majorHAnsi" w:cs="Arial"/>
          <w:bCs/>
          <w:sz w:val="28"/>
          <w:szCs w:val="28"/>
        </w:rPr>
        <w:t xml:space="preserve"> Planning and Urban Management</w:t>
      </w:r>
      <w:r w:rsidR="003914F1">
        <w:rPr>
          <w:rFonts w:asciiTheme="majorHAnsi" w:hAnsiTheme="majorHAnsi" w:cs="Arial"/>
          <w:bCs/>
          <w:sz w:val="28"/>
          <w:szCs w:val="28"/>
        </w:rPr>
        <w:t xml:space="preserve"> Act in 2004</w:t>
      </w:r>
      <w:r w:rsidR="003914F1" w:rsidRPr="003914F1">
        <w:rPr>
          <w:rFonts w:asciiTheme="majorHAnsi" w:hAnsiTheme="majorHAnsi" w:cs="Arial"/>
          <w:bCs/>
          <w:sz w:val="28"/>
          <w:szCs w:val="28"/>
        </w:rPr>
        <w:t>.</w:t>
      </w:r>
    </w:p>
    <w:p w:rsidR="00EA1E21" w:rsidRPr="00565C0A" w:rsidRDefault="00EA1E21" w:rsidP="00EA1E21">
      <w:pPr>
        <w:jc w:val="both"/>
        <w:rPr>
          <w:rFonts w:asciiTheme="majorHAnsi" w:hAnsiTheme="majorHAnsi" w:cs="Arial"/>
          <w:bCs/>
          <w:sz w:val="28"/>
          <w:szCs w:val="28"/>
        </w:rPr>
      </w:pPr>
    </w:p>
    <w:p w:rsidR="00565C0A" w:rsidRDefault="00565C0A" w:rsidP="00565C0A">
      <w:pPr>
        <w:spacing w:after="240"/>
        <w:jc w:val="both"/>
        <w:rPr>
          <w:rFonts w:asciiTheme="majorHAnsi" w:hAnsiTheme="majorHAnsi" w:cs="Arial"/>
          <w:bCs/>
          <w:i/>
          <w:sz w:val="28"/>
          <w:szCs w:val="28"/>
        </w:rPr>
      </w:pPr>
      <w:r w:rsidRPr="00565C0A">
        <w:rPr>
          <w:rFonts w:asciiTheme="majorHAnsi" w:hAnsiTheme="majorHAnsi" w:cs="Arial"/>
          <w:bCs/>
          <w:i/>
          <w:sz w:val="28"/>
          <w:szCs w:val="28"/>
        </w:rPr>
        <w:t>Development sectors</w:t>
      </w:r>
      <w:r w:rsidR="00180650">
        <w:rPr>
          <w:rFonts w:asciiTheme="majorHAnsi" w:hAnsiTheme="majorHAnsi" w:cs="Arial"/>
          <w:bCs/>
          <w:i/>
          <w:sz w:val="28"/>
          <w:szCs w:val="28"/>
        </w:rPr>
        <w:t xml:space="preserve"> </w:t>
      </w:r>
      <w:r w:rsidR="003914F1">
        <w:rPr>
          <w:rFonts w:asciiTheme="majorHAnsi" w:hAnsiTheme="majorHAnsi" w:cs="Arial"/>
          <w:bCs/>
          <w:i/>
          <w:sz w:val="28"/>
          <w:szCs w:val="28"/>
        </w:rPr>
        <w:t xml:space="preserve">that </w:t>
      </w:r>
      <w:r w:rsidRPr="00565C0A">
        <w:rPr>
          <w:rFonts w:asciiTheme="majorHAnsi" w:hAnsiTheme="majorHAnsi" w:cs="Arial"/>
          <w:bCs/>
          <w:i/>
          <w:sz w:val="28"/>
          <w:szCs w:val="28"/>
        </w:rPr>
        <w:t xml:space="preserve"> have been </w:t>
      </w:r>
      <w:r w:rsidR="003914F1">
        <w:rPr>
          <w:rFonts w:asciiTheme="majorHAnsi" w:hAnsiTheme="majorHAnsi" w:cs="Arial"/>
          <w:bCs/>
          <w:i/>
          <w:sz w:val="28"/>
          <w:szCs w:val="28"/>
        </w:rPr>
        <w:t xml:space="preserve">most </w:t>
      </w:r>
      <w:r w:rsidR="00F336EB">
        <w:rPr>
          <w:rFonts w:asciiTheme="majorHAnsi" w:hAnsiTheme="majorHAnsi" w:cs="Arial"/>
          <w:bCs/>
          <w:i/>
          <w:sz w:val="28"/>
          <w:szCs w:val="28"/>
        </w:rPr>
        <w:t>affected by disaster</w:t>
      </w:r>
    </w:p>
    <w:p w:rsidR="00565C0A" w:rsidRDefault="003914F1" w:rsidP="00565C0A">
      <w:pPr>
        <w:spacing w:after="240"/>
        <w:jc w:val="both"/>
        <w:rPr>
          <w:rFonts w:asciiTheme="majorHAnsi" w:hAnsiTheme="majorHAnsi" w:cs="Arial"/>
          <w:bCs/>
          <w:sz w:val="28"/>
          <w:szCs w:val="28"/>
        </w:rPr>
      </w:pPr>
      <w:r>
        <w:rPr>
          <w:rFonts w:asciiTheme="majorHAnsi" w:hAnsiTheme="majorHAnsi" w:cs="Arial"/>
          <w:bCs/>
          <w:sz w:val="28"/>
          <w:szCs w:val="28"/>
          <w:lang w:val="en-AU"/>
        </w:rPr>
        <w:t xml:space="preserve">Key disasters that have taken place in Samoa include the impacts of </w:t>
      </w:r>
      <w:r w:rsidRPr="003914F1">
        <w:rPr>
          <w:rFonts w:asciiTheme="majorHAnsi" w:hAnsiTheme="majorHAnsi" w:cs="Arial"/>
          <w:bCs/>
          <w:sz w:val="28"/>
          <w:szCs w:val="28"/>
          <w:lang w:val="en-AU"/>
        </w:rPr>
        <w:t>Cyclone Ofa and Cyclone Va</w:t>
      </w:r>
      <w:r>
        <w:rPr>
          <w:rFonts w:asciiTheme="majorHAnsi" w:hAnsiTheme="majorHAnsi" w:cs="Arial"/>
          <w:bCs/>
          <w:sz w:val="28"/>
          <w:szCs w:val="28"/>
          <w:lang w:val="en-AU"/>
        </w:rPr>
        <w:t>l in 1990 and 1991 respectively, as well as the Tsunami of 2009.</w:t>
      </w:r>
      <w:r w:rsidR="0073215F">
        <w:rPr>
          <w:rFonts w:asciiTheme="majorHAnsi" w:hAnsiTheme="majorHAnsi" w:cs="Arial"/>
          <w:bCs/>
          <w:sz w:val="28"/>
          <w:szCs w:val="28"/>
          <w:lang w:val="en-AU"/>
        </w:rPr>
        <w:t xml:space="preserve">  8 people lost their lives during Cyclone Ofa, 195000 people were affected and the cost to the economy was 200 million USD. 13 people lost their lives during Cyclone Val, 88000 people were affected and the cost was 278 million USD. 143 people lost their lives during the 2009 Tsunami, 5000 were affected and the recovery cost </w:t>
      </w:r>
      <w:r w:rsidR="00A2696E">
        <w:rPr>
          <w:rFonts w:asciiTheme="majorHAnsi" w:hAnsiTheme="majorHAnsi" w:cs="Arial"/>
          <w:bCs/>
          <w:sz w:val="28"/>
          <w:szCs w:val="28"/>
        </w:rPr>
        <w:t>22.5 million USD.</w:t>
      </w:r>
    </w:p>
    <w:p w:rsidR="003914F1" w:rsidRDefault="00A2696E" w:rsidP="00EA1E21">
      <w:pPr>
        <w:spacing w:after="240"/>
        <w:jc w:val="both"/>
        <w:rPr>
          <w:rFonts w:asciiTheme="majorHAnsi" w:hAnsiTheme="majorHAnsi" w:cs="Arial"/>
          <w:bCs/>
          <w:sz w:val="28"/>
          <w:szCs w:val="28"/>
        </w:rPr>
      </w:pPr>
      <w:r>
        <w:rPr>
          <w:rFonts w:asciiTheme="majorHAnsi" w:hAnsiTheme="majorHAnsi" w:cs="Arial"/>
          <w:bCs/>
          <w:sz w:val="28"/>
          <w:szCs w:val="28"/>
        </w:rPr>
        <w:t>Infrastructure</w:t>
      </w:r>
      <w:r w:rsidR="00EA1E21">
        <w:rPr>
          <w:rFonts w:asciiTheme="majorHAnsi" w:hAnsiTheme="majorHAnsi" w:cs="Arial"/>
          <w:bCs/>
          <w:sz w:val="28"/>
          <w:szCs w:val="28"/>
        </w:rPr>
        <w:t xml:space="preserve"> (roads, water systems, drainage, buildings)</w:t>
      </w:r>
      <w:r>
        <w:rPr>
          <w:rFonts w:asciiTheme="majorHAnsi" w:hAnsiTheme="majorHAnsi" w:cs="Arial"/>
          <w:bCs/>
          <w:sz w:val="28"/>
          <w:szCs w:val="28"/>
        </w:rPr>
        <w:t>, agriculture and tourism were the sectors most affected by the above disasters. Over 70% of the population reside along the coast, and it is these coastal locations, and the accompanying infrastructure, that are most at risk during cyclones and tsunamis. Tourism infrastructure is also primarily located along the Samoan coastline. Much of this in</w:t>
      </w:r>
      <w:r w:rsidR="00EA1E21">
        <w:rPr>
          <w:rFonts w:asciiTheme="majorHAnsi" w:hAnsiTheme="majorHAnsi" w:cs="Arial"/>
          <w:bCs/>
          <w:sz w:val="28"/>
          <w:szCs w:val="28"/>
        </w:rPr>
        <w:t xml:space="preserve">frastructure takes the form of </w:t>
      </w:r>
      <w:r>
        <w:rPr>
          <w:rFonts w:asciiTheme="majorHAnsi" w:hAnsiTheme="majorHAnsi" w:cs="Arial"/>
          <w:bCs/>
          <w:sz w:val="28"/>
          <w:szCs w:val="28"/>
        </w:rPr>
        <w:t>family owned ‘beach fales’, which are rudimentary accommodation structures close to the water.</w:t>
      </w:r>
      <w:r w:rsidR="00EA1E21">
        <w:rPr>
          <w:rFonts w:asciiTheme="majorHAnsi" w:hAnsiTheme="majorHAnsi" w:cs="Arial"/>
          <w:bCs/>
          <w:sz w:val="28"/>
          <w:szCs w:val="28"/>
        </w:rPr>
        <w:t xml:space="preserve">  Agricultural production is at risk to the gale-force winds and flooding that accompanies cyclones. Agricultural production closer to the coast has in the past been negatively impacted by seawater intrusion.</w:t>
      </w:r>
    </w:p>
    <w:p w:rsidR="00EA1E21" w:rsidRPr="00A2696E" w:rsidRDefault="00EA1E21" w:rsidP="00EA1E21">
      <w:pPr>
        <w:jc w:val="both"/>
        <w:rPr>
          <w:rFonts w:asciiTheme="majorHAnsi" w:hAnsiTheme="majorHAnsi" w:cs="Arial"/>
          <w:bCs/>
          <w:sz w:val="28"/>
          <w:szCs w:val="28"/>
        </w:rPr>
      </w:pPr>
    </w:p>
    <w:p w:rsidR="00565C0A" w:rsidRDefault="00565C0A" w:rsidP="00565C0A">
      <w:pPr>
        <w:spacing w:after="240"/>
        <w:jc w:val="both"/>
        <w:rPr>
          <w:rFonts w:asciiTheme="majorHAnsi" w:hAnsiTheme="majorHAnsi" w:cs="Arial"/>
          <w:bCs/>
          <w:i/>
          <w:sz w:val="28"/>
          <w:szCs w:val="28"/>
        </w:rPr>
      </w:pPr>
      <w:r w:rsidRPr="00565C0A">
        <w:rPr>
          <w:rFonts w:asciiTheme="majorHAnsi" w:hAnsiTheme="majorHAnsi" w:cs="Arial"/>
          <w:bCs/>
          <w:i/>
          <w:sz w:val="28"/>
          <w:szCs w:val="28"/>
        </w:rPr>
        <w:t>Successes in mainstreaming disaster and climate risk into development planning and sectors, providing examples?</w:t>
      </w:r>
    </w:p>
    <w:p w:rsidR="00EA1E21" w:rsidRDefault="00EA1E21" w:rsidP="00565C0A">
      <w:pPr>
        <w:spacing w:after="240"/>
        <w:jc w:val="both"/>
        <w:rPr>
          <w:rFonts w:asciiTheme="majorHAnsi" w:hAnsiTheme="majorHAnsi" w:cs="Arial"/>
          <w:bCs/>
          <w:sz w:val="28"/>
          <w:szCs w:val="28"/>
        </w:rPr>
      </w:pPr>
      <w:r>
        <w:rPr>
          <w:rFonts w:asciiTheme="majorHAnsi" w:hAnsiTheme="majorHAnsi" w:cs="Arial"/>
          <w:bCs/>
          <w:sz w:val="28"/>
          <w:szCs w:val="28"/>
        </w:rPr>
        <w:t xml:space="preserve">While progress has been made in the mainstreaming of disaster and climate risk into development planning and sectors, the exact level of mainstreaming is currently unknown. There is a climate change project which is currently conducting a thorough analysis of the level of DRM and CC mainstreaming. Sectors active in this regard are the social </w:t>
      </w:r>
      <w:r>
        <w:rPr>
          <w:rFonts w:asciiTheme="majorHAnsi" w:hAnsiTheme="majorHAnsi" w:cs="Arial"/>
          <w:bCs/>
          <w:sz w:val="28"/>
          <w:szCs w:val="28"/>
        </w:rPr>
        <w:lastRenderedPageBreak/>
        <w:t xml:space="preserve">development sector, forestry, water, infrastructure development and environment. </w:t>
      </w:r>
    </w:p>
    <w:p w:rsidR="005A39AB" w:rsidRPr="00EA1E21" w:rsidRDefault="005A39AB" w:rsidP="005A39AB">
      <w:pPr>
        <w:jc w:val="both"/>
        <w:rPr>
          <w:rFonts w:asciiTheme="majorHAnsi" w:hAnsiTheme="majorHAnsi" w:cs="Arial"/>
          <w:bCs/>
          <w:sz w:val="28"/>
          <w:szCs w:val="28"/>
        </w:rPr>
      </w:pPr>
    </w:p>
    <w:p w:rsidR="005A39AB" w:rsidRPr="005A39AB" w:rsidRDefault="005A39AB" w:rsidP="00F757AB">
      <w:pPr>
        <w:keepNext/>
        <w:spacing w:after="240"/>
        <w:jc w:val="both"/>
        <w:rPr>
          <w:rFonts w:asciiTheme="majorHAnsi" w:hAnsiTheme="majorHAnsi" w:cs="Arial"/>
          <w:b/>
          <w:bCs/>
          <w:sz w:val="28"/>
          <w:szCs w:val="28"/>
        </w:rPr>
      </w:pPr>
      <w:r w:rsidRPr="005A39AB">
        <w:rPr>
          <w:rFonts w:asciiTheme="majorHAnsi" w:hAnsiTheme="majorHAnsi" w:cs="Arial"/>
          <w:b/>
          <w:bCs/>
          <w:sz w:val="28"/>
          <w:szCs w:val="28"/>
        </w:rPr>
        <w:t xml:space="preserve">Accountability and Governance     </w:t>
      </w:r>
    </w:p>
    <w:p w:rsidR="005A39AB" w:rsidRPr="005A39AB" w:rsidRDefault="005A39AB" w:rsidP="00F757AB">
      <w:pPr>
        <w:keepNext/>
        <w:spacing w:after="240"/>
        <w:jc w:val="both"/>
        <w:rPr>
          <w:rFonts w:asciiTheme="majorHAnsi" w:hAnsiTheme="majorHAnsi" w:cs="Arial"/>
          <w:bCs/>
          <w:i/>
          <w:sz w:val="28"/>
          <w:szCs w:val="28"/>
        </w:rPr>
      </w:pPr>
      <w:r w:rsidRPr="005A39AB">
        <w:rPr>
          <w:rFonts w:asciiTheme="majorHAnsi" w:hAnsiTheme="majorHAnsi" w:cs="Arial"/>
          <w:bCs/>
          <w:i/>
          <w:sz w:val="28"/>
          <w:szCs w:val="28"/>
        </w:rPr>
        <w:t>Responsibility for implementation of the</w:t>
      </w:r>
      <w:r w:rsidR="001442FF">
        <w:rPr>
          <w:rFonts w:asciiTheme="majorHAnsi" w:hAnsiTheme="majorHAnsi" w:cs="Arial"/>
          <w:bCs/>
          <w:i/>
          <w:sz w:val="28"/>
          <w:szCs w:val="28"/>
        </w:rPr>
        <w:t xml:space="preserve"> </w:t>
      </w:r>
      <w:r w:rsidRPr="005A39AB">
        <w:rPr>
          <w:rFonts w:asciiTheme="majorHAnsi" w:hAnsiTheme="majorHAnsi" w:cs="Arial"/>
          <w:bCs/>
          <w:i/>
          <w:sz w:val="28"/>
          <w:szCs w:val="28"/>
        </w:rPr>
        <w:t>RFA and PIFACC at national level.</w:t>
      </w:r>
    </w:p>
    <w:p w:rsidR="005A39AB" w:rsidRDefault="005A39AB" w:rsidP="005A39AB">
      <w:pPr>
        <w:spacing w:after="240"/>
        <w:jc w:val="both"/>
        <w:rPr>
          <w:rFonts w:asciiTheme="majorHAnsi" w:hAnsiTheme="majorHAnsi" w:cs="Arial"/>
          <w:bCs/>
          <w:sz w:val="28"/>
          <w:szCs w:val="28"/>
        </w:rPr>
      </w:pPr>
      <w:r>
        <w:rPr>
          <w:rFonts w:asciiTheme="majorHAnsi" w:hAnsiTheme="majorHAnsi" w:cs="Arial"/>
          <w:bCs/>
          <w:sz w:val="28"/>
          <w:szCs w:val="28"/>
        </w:rPr>
        <w:t>The Disaster Management Office and the Climate Change Office of the Ministry of Nat</w:t>
      </w:r>
      <w:r w:rsidR="001442FF">
        <w:rPr>
          <w:rFonts w:asciiTheme="majorHAnsi" w:hAnsiTheme="majorHAnsi" w:cs="Arial"/>
          <w:bCs/>
          <w:sz w:val="28"/>
          <w:szCs w:val="28"/>
        </w:rPr>
        <w:t>ural Resources and Environment i</w:t>
      </w:r>
      <w:r>
        <w:rPr>
          <w:rFonts w:asciiTheme="majorHAnsi" w:hAnsiTheme="majorHAnsi" w:cs="Arial"/>
          <w:bCs/>
          <w:sz w:val="28"/>
          <w:szCs w:val="28"/>
        </w:rPr>
        <w:t>s responsible for implementation of the RFA and PIFAC</w:t>
      </w:r>
      <w:r w:rsidR="001442FF">
        <w:rPr>
          <w:rFonts w:asciiTheme="majorHAnsi" w:hAnsiTheme="majorHAnsi" w:cs="Arial"/>
          <w:bCs/>
          <w:sz w:val="28"/>
          <w:szCs w:val="28"/>
        </w:rPr>
        <w:t>C</w:t>
      </w:r>
      <w:r>
        <w:rPr>
          <w:rFonts w:asciiTheme="majorHAnsi" w:hAnsiTheme="majorHAnsi" w:cs="Arial"/>
          <w:bCs/>
          <w:sz w:val="28"/>
          <w:szCs w:val="28"/>
        </w:rPr>
        <w:t xml:space="preserve">. These responsibilities were allocated to them by national government and they are also the </w:t>
      </w:r>
      <w:r w:rsidR="001442FF">
        <w:rPr>
          <w:rFonts w:asciiTheme="majorHAnsi" w:hAnsiTheme="majorHAnsi" w:cs="Arial"/>
          <w:bCs/>
          <w:sz w:val="28"/>
          <w:szCs w:val="28"/>
        </w:rPr>
        <w:t>respective focal points for SPC/</w:t>
      </w:r>
      <w:r>
        <w:rPr>
          <w:rFonts w:asciiTheme="majorHAnsi" w:hAnsiTheme="majorHAnsi" w:cs="Arial"/>
          <w:bCs/>
          <w:sz w:val="28"/>
          <w:szCs w:val="28"/>
        </w:rPr>
        <w:t>SOPAC and SPREP.</w:t>
      </w:r>
    </w:p>
    <w:p w:rsidR="005A39AB" w:rsidRPr="005A39AB" w:rsidRDefault="005A39AB" w:rsidP="005A39AB">
      <w:pPr>
        <w:jc w:val="both"/>
        <w:rPr>
          <w:rFonts w:asciiTheme="majorHAnsi" w:hAnsiTheme="majorHAnsi" w:cs="Arial"/>
          <w:bCs/>
          <w:sz w:val="28"/>
          <w:szCs w:val="28"/>
        </w:rPr>
      </w:pPr>
    </w:p>
    <w:p w:rsidR="005A39AB" w:rsidRPr="005A39AB" w:rsidRDefault="005A39AB" w:rsidP="005A39AB">
      <w:pPr>
        <w:spacing w:after="240"/>
        <w:jc w:val="both"/>
        <w:rPr>
          <w:rFonts w:asciiTheme="majorHAnsi" w:hAnsiTheme="majorHAnsi" w:cs="Arial"/>
          <w:bCs/>
          <w:i/>
          <w:sz w:val="28"/>
          <w:szCs w:val="28"/>
        </w:rPr>
      </w:pPr>
      <w:r w:rsidRPr="005A39AB">
        <w:rPr>
          <w:rFonts w:asciiTheme="majorHAnsi" w:hAnsiTheme="majorHAnsi" w:cs="Arial"/>
          <w:bCs/>
          <w:i/>
          <w:sz w:val="28"/>
          <w:szCs w:val="28"/>
        </w:rPr>
        <w:t>Responsibility for integrating disaster and climate related risks into development planning and budgetary processes at national, sub nat</w:t>
      </w:r>
      <w:r w:rsidR="00F336EB">
        <w:rPr>
          <w:rFonts w:asciiTheme="majorHAnsi" w:hAnsiTheme="majorHAnsi" w:cs="Arial"/>
          <w:bCs/>
          <w:i/>
          <w:sz w:val="28"/>
          <w:szCs w:val="28"/>
        </w:rPr>
        <w:t>ional and local/community level</w:t>
      </w:r>
    </w:p>
    <w:p w:rsidR="005A39AB" w:rsidRDefault="005A39AB" w:rsidP="005A39AB">
      <w:pPr>
        <w:spacing w:after="240"/>
        <w:jc w:val="both"/>
        <w:rPr>
          <w:rFonts w:asciiTheme="majorHAnsi" w:hAnsiTheme="majorHAnsi" w:cs="Arial"/>
          <w:bCs/>
          <w:sz w:val="28"/>
          <w:szCs w:val="28"/>
          <w:lang w:val="en-US"/>
        </w:rPr>
      </w:pPr>
      <w:r>
        <w:rPr>
          <w:rFonts w:asciiTheme="majorHAnsi" w:hAnsiTheme="majorHAnsi" w:cs="Arial"/>
          <w:bCs/>
          <w:sz w:val="28"/>
          <w:szCs w:val="28"/>
        </w:rPr>
        <w:t xml:space="preserve">While the DMO and the CCO are responsible for coordination, the legal responsibilities for disaster risk reduction are shared between a number of agencies. A list of these organisations and their respective statutory and non-statutory obligations are contained in the National Disaster Management Plan. </w:t>
      </w:r>
      <w:r w:rsidR="000B3891">
        <w:rPr>
          <w:rFonts w:asciiTheme="majorHAnsi" w:hAnsiTheme="majorHAnsi" w:cs="Arial"/>
          <w:bCs/>
          <w:sz w:val="28"/>
          <w:szCs w:val="28"/>
        </w:rPr>
        <w:t>Key agencies include: Ministry of Natu</w:t>
      </w:r>
      <w:r w:rsidR="00594C02">
        <w:rPr>
          <w:rFonts w:asciiTheme="majorHAnsi" w:hAnsiTheme="majorHAnsi" w:cs="Arial"/>
          <w:bCs/>
          <w:sz w:val="28"/>
          <w:szCs w:val="28"/>
        </w:rPr>
        <w:t xml:space="preserve">ral Resources and Environment, </w:t>
      </w:r>
      <w:r w:rsidR="00594C02" w:rsidRPr="00594C02">
        <w:rPr>
          <w:rFonts w:asciiTheme="majorHAnsi" w:hAnsiTheme="majorHAnsi" w:cs="Arial"/>
          <w:bCs/>
          <w:sz w:val="28"/>
          <w:szCs w:val="28"/>
          <w:lang w:val="en-US"/>
        </w:rPr>
        <w:t>Ministry of Works,</w:t>
      </w:r>
      <w:r w:rsidR="001442FF">
        <w:rPr>
          <w:rFonts w:asciiTheme="majorHAnsi" w:hAnsiTheme="majorHAnsi" w:cs="Arial"/>
          <w:bCs/>
          <w:sz w:val="28"/>
          <w:szCs w:val="28"/>
          <w:lang w:val="en-US"/>
        </w:rPr>
        <w:t xml:space="preserve"> </w:t>
      </w:r>
      <w:r w:rsidR="00594C02" w:rsidRPr="00594C02">
        <w:rPr>
          <w:rFonts w:asciiTheme="majorHAnsi" w:hAnsiTheme="majorHAnsi" w:cs="Arial"/>
          <w:bCs/>
          <w:sz w:val="28"/>
          <w:szCs w:val="28"/>
          <w:lang w:val="en-US"/>
        </w:rPr>
        <w:t>Transport and</w:t>
      </w:r>
      <w:r w:rsidR="001442FF">
        <w:rPr>
          <w:rFonts w:asciiTheme="majorHAnsi" w:hAnsiTheme="majorHAnsi" w:cs="Arial"/>
          <w:bCs/>
          <w:sz w:val="28"/>
          <w:szCs w:val="28"/>
          <w:lang w:val="en-US"/>
        </w:rPr>
        <w:t xml:space="preserve"> </w:t>
      </w:r>
      <w:r w:rsidR="00594C02" w:rsidRPr="00594C02">
        <w:rPr>
          <w:rFonts w:asciiTheme="majorHAnsi" w:hAnsiTheme="majorHAnsi" w:cs="Arial"/>
          <w:bCs/>
          <w:sz w:val="28"/>
          <w:szCs w:val="28"/>
          <w:lang w:val="en-US"/>
        </w:rPr>
        <w:t>Infrastructure</w:t>
      </w:r>
      <w:r w:rsidR="002F0D6E">
        <w:rPr>
          <w:rFonts w:asciiTheme="majorHAnsi" w:hAnsiTheme="majorHAnsi" w:cs="Arial"/>
          <w:bCs/>
          <w:sz w:val="28"/>
          <w:szCs w:val="28"/>
          <w:lang w:val="en-US"/>
        </w:rPr>
        <w:t xml:space="preserve"> and Ministry of Women, Social and Community Development. </w:t>
      </w:r>
    </w:p>
    <w:p w:rsidR="002F0D6E" w:rsidRPr="005A39AB" w:rsidRDefault="002F0D6E" w:rsidP="002F0D6E">
      <w:pPr>
        <w:jc w:val="both"/>
        <w:rPr>
          <w:rFonts w:asciiTheme="majorHAnsi" w:hAnsiTheme="majorHAnsi" w:cs="Arial"/>
          <w:bCs/>
          <w:sz w:val="28"/>
          <w:szCs w:val="28"/>
        </w:rPr>
      </w:pPr>
    </w:p>
    <w:p w:rsidR="002F0D6E" w:rsidRPr="002F0D6E" w:rsidRDefault="002F0D6E" w:rsidP="002F0D6E">
      <w:pPr>
        <w:spacing w:after="240"/>
        <w:jc w:val="both"/>
        <w:rPr>
          <w:rFonts w:asciiTheme="majorHAnsi" w:hAnsiTheme="majorHAnsi" w:cs="Arial"/>
          <w:bCs/>
          <w:i/>
          <w:sz w:val="28"/>
          <w:szCs w:val="28"/>
        </w:rPr>
      </w:pPr>
      <w:r w:rsidRPr="002F0D6E">
        <w:rPr>
          <w:rFonts w:asciiTheme="majorHAnsi" w:hAnsiTheme="majorHAnsi" w:cs="Arial"/>
          <w:bCs/>
          <w:i/>
          <w:sz w:val="28"/>
          <w:szCs w:val="28"/>
        </w:rPr>
        <w:t>N</w:t>
      </w:r>
      <w:r w:rsidR="005A39AB" w:rsidRPr="002F0D6E">
        <w:rPr>
          <w:rFonts w:asciiTheme="majorHAnsi" w:hAnsiTheme="majorHAnsi" w:cs="Arial"/>
          <w:bCs/>
          <w:i/>
          <w:sz w:val="28"/>
          <w:szCs w:val="28"/>
        </w:rPr>
        <w:t>ational governance structure of disaster risk</w:t>
      </w:r>
      <w:r w:rsidR="00F336EB">
        <w:rPr>
          <w:rFonts w:asciiTheme="majorHAnsi" w:hAnsiTheme="majorHAnsi" w:cs="Arial"/>
          <w:bCs/>
          <w:i/>
          <w:sz w:val="28"/>
          <w:szCs w:val="28"/>
        </w:rPr>
        <w:t xml:space="preserve"> management and climate change</w:t>
      </w:r>
    </w:p>
    <w:p w:rsidR="002F0D6E" w:rsidRDefault="002F0D6E" w:rsidP="002F0D6E">
      <w:pPr>
        <w:spacing w:after="240"/>
        <w:jc w:val="both"/>
        <w:rPr>
          <w:rFonts w:asciiTheme="majorHAnsi" w:hAnsiTheme="majorHAnsi" w:cs="Arial"/>
          <w:bCs/>
          <w:sz w:val="28"/>
          <w:szCs w:val="28"/>
        </w:rPr>
      </w:pPr>
      <w:r>
        <w:rPr>
          <w:rFonts w:asciiTheme="majorHAnsi" w:hAnsiTheme="majorHAnsi" w:cs="Arial"/>
          <w:bCs/>
          <w:sz w:val="28"/>
          <w:szCs w:val="28"/>
        </w:rPr>
        <w:t xml:space="preserve">Governance of disaster risk management comprises a National </w:t>
      </w:r>
      <w:r w:rsidR="00424E68">
        <w:rPr>
          <w:rFonts w:asciiTheme="majorHAnsi" w:hAnsiTheme="majorHAnsi" w:cs="Arial"/>
          <w:bCs/>
          <w:sz w:val="28"/>
          <w:szCs w:val="28"/>
        </w:rPr>
        <w:t>Disaster</w:t>
      </w:r>
      <w:r>
        <w:rPr>
          <w:rFonts w:asciiTheme="majorHAnsi" w:hAnsiTheme="majorHAnsi" w:cs="Arial"/>
          <w:bCs/>
          <w:sz w:val="28"/>
          <w:szCs w:val="28"/>
        </w:rPr>
        <w:t xml:space="preserve"> Council, a Disaster Advisory Committee and sub-committees, and </w:t>
      </w:r>
      <w:r w:rsidR="00424E68">
        <w:rPr>
          <w:rFonts w:asciiTheme="majorHAnsi" w:hAnsiTheme="majorHAnsi" w:cs="Arial"/>
          <w:bCs/>
          <w:sz w:val="28"/>
          <w:szCs w:val="28"/>
        </w:rPr>
        <w:t>a</w:t>
      </w:r>
      <w:r>
        <w:rPr>
          <w:rFonts w:asciiTheme="majorHAnsi" w:hAnsiTheme="majorHAnsi" w:cs="Arial"/>
          <w:bCs/>
          <w:sz w:val="28"/>
          <w:szCs w:val="28"/>
        </w:rPr>
        <w:t xml:space="preserve"> National Disaster Management Office. </w:t>
      </w:r>
      <w:r w:rsidR="00424E68">
        <w:rPr>
          <w:rFonts w:asciiTheme="majorHAnsi" w:hAnsiTheme="majorHAnsi" w:cs="Arial"/>
          <w:bCs/>
          <w:sz w:val="28"/>
          <w:szCs w:val="28"/>
        </w:rPr>
        <w:t xml:space="preserve">Climate change is coordinated by a Climate Change Country Team and is managed by a Climate Change Office. Both the Disaster Management Office and the Climate Change Office are in the Ministry of Natural Resources and Environment. </w:t>
      </w:r>
    </w:p>
    <w:p w:rsidR="0026425B" w:rsidRDefault="0026425B" w:rsidP="0026425B">
      <w:pPr>
        <w:jc w:val="both"/>
        <w:rPr>
          <w:rFonts w:asciiTheme="majorHAnsi" w:hAnsiTheme="majorHAnsi" w:cs="Arial"/>
          <w:bCs/>
          <w:sz w:val="28"/>
          <w:szCs w:val="28"/>
        </w:rPr>
      </w:pPr>
    </w:p>
    <w:p w:rsidR="005A39AB" w:rsidRDefault="00CE7FD9" w:rsidP="0026425B">
      <w:pPr>
        <w:spacing w:after="240"/>
        <w:jc w:val="both"/>
        <w:rPr>
          <w:rFonts w:asciiTheme="majorHAnsi" w:hAnsiTheme="majorHAnsi" w:cs="Arial"/>
          <w:bCs/>
          <w:i/>
          <w:sz w:val="28"/>
          <w:szCs w:val="28"/>
        </w:rPr>
      </w:pPr>
      <w:r>
        <w:rPr>
          <w:rFonts w:asciiTheme="majorHAnsi" w:hAnsiTheme="majorHAnsi" w:cs="Arial"/>
          <w:bCs/>
          <w:i/>
          <w:sz w:val="28"/>
          <w:szCs w:val="28"/>
        </w:rPr>
        <w:t>T</w:t>
      </w:r>
      <w:r w:rsidR="005A39AB" w:rsidRPr="0026425B">
        <w:rPr>
          <w:rFonts w:asciiTheme="majorHAnsi" w:hAnsiTheme="majorHAnsi" w:cs="Arial"/>
          <w:bCs/>
          <w:i/>
          <w:sz w:val="28"/>
          <w:szCs w:val="28"/>
        </w:rPr>
        <w:t>ransparency, accountability and decentralization of DRM and Climate Change as part of development policy a</w:t>
      </w:r>
      <w:r>
        <w:rPr>
          <w:rFonts w:asciiTheme="majorHAnsi" w:hAnsiTheme="majorHAnsi" w:cs="Arial"/>
          <w:bCs/>
          <w:i/>
          <w:sz w:val="28"/>
          <w:szCs w:val="28"/>
        </w:rPr>
        <w:t>nd strategy</w:t>
      </w:r>
    </w:p>
    <w:p w:rsidR="00CE7FD9" w:rsidRDefault="0026425B" w:rsidP="0026425B">
      <w:pPr>
        <w:spacing w:after="240"/>
        <w:jc w:val="both"/>
        <w:rPr>
          <w:rFonts w:asciiTheme="majorHAnsi" w:hAnsiTheme="majorHAnsi" w:cs="Arial"/>
          <w:bCs/>
          <w:sz w:val="28"/>
          <w:szCs w:val="28"/>
        </w:rPr>
      </w:pPr>
      <w:r>
        <w:rPr>
          <w:rFonts w:asciiTheme="majorHAnsi" w:hAnsiTheme="majorHAnsi" w:cs="Arial"/>
          <w:bCs/>
          <w:sz w:val="28"/>
          <w:szCs w:val="28"/>
        </w:rPr>
        <w:lastRenderedPageBreak/>
        <w:t xml:space="preserve">Transparency is promoted through an inclusive approach that includes a 50 member strong Disaster Advisory Committee reporting to a National Disaster Council. Accountability is built into existing governance reporting systems as required by the Public Service Commission and Treasury. </w:t>
      </w:r>
      <w:r w:rsidR="00CE7FD9">
        <w:rPr>
          <w:rFonts w:asciiTheme="majorHAnsi" w:hAnsiTheme="majorHAnsi" w:cs="Arial"/>
          <w:bCs/>
          <w:sz w:val="28"/>
          <w:szCs w:val="28"/>
        </w:rPr>
        <w:t>Decentralisation is promoted through project implementation in project villages. Local governance structures are required by DRM legislation to develop DRM village plans. DRM and CC governance supports the implementation of the DRM National Action Plan and the National Adaptation Programme of Action.</w:t>
      </w:r>
    </w:p>
    <w:p w:rsidR="0026425B" w:rsidRDefault="0026425B" w:rsidP="00CE7FD9">
      <w:pPr>
        <w:jc w:val="both"/>
        <w:rPr>
          <w:rFonts w:asciiTheme="majorHAnsi" w:hAnsiTheme="majorHAnsi" w:cs="Arial"/>
          <w:bCs/>
          <w:sz w:val="28"/>
          <w:szCs w:val="28"/>
        </w:rPr>
      </w:pPr>
    </w:p>
    <w:p w:rsidR="005A39AB" w:rsidRPr="00CE7FD9" w:rsidRDefault="005A39AB" w:rsidP="00CE7FD9">
      <w:pPr>
        <w:spacing w:after="240"/>
        <w:jc w:val="both"/>
        <w:rPr>
          <w:rFonts w:asciiTheme="majorHAnsi" w:hAnsiTheme="majorHAnsi" w:cs="Arial"/>
          <w:bCs/>
          <w:i/>
          <w:sz w:val="28"/>
          <w:szCs w:val="28"/>
        </w:rPr>
      </w:pPr>
      <w:r w:rsidRPr="00CE7FD9">
        <w:rPr>
          <w:rFonts w:asciiTheme="majorHAnsi" w:hAnsiTheme="majorHAnsi" w:cs="Arial"/>
          <w:bCs/>
          <w:i/>
          <w:sz w:val="28"/>
          <w:szCs w:val="28"/>
        </w:rPr>
        <w:t>What needs to be done to incorporate accountability in DRM and Climate Change in development planning and practi</w:t>
      </w:r>
      <w:r w:rsidR="00F336EB">
        <w:rPr>
          <w:rFonts w:asciiTheme="majorHAnsi" w:hAnsiTheme="majorHAnsi" w:cs="Arial"/>
          <w:bCs/>
          <w:i/>
          <w:sz w:val="28"/>
          <w:szCs w:val="28"/>
        </w:rPr>
        <w:t>ces at national and local level</w:t>
      </w:r>
    </w:p>
    <w:p w:rsidR="00EA1E21" w:rsidRDefault="00CE7FD9" w:rsidP="00565C0A">
      <w:pPr>
        <w:spacing w:after="240"/>
        <w:jc w:val="both"/>
        <w:rPr>
          <w:rFonts w:asciiTheme="majorHAnsi" w:hAnsiTheme="majorHAnsi" w:cs="Arial"/>
          <w:bCs/>
          <w:sz w:val="28"/>
          <w:szCs w:val="28"/>
        </w:rPr>
      </w:pPr>
      <w:r>
        <w:rPr>
          <w:rFonts w:asciiTheme="majorHAnsi" w:hAnsiTheme="majorHAnsi" w:cs="Arial"/>
          <w:bCs/>
          <w:sz w:val="28"/>
          <w:szCs w:val="28"/>
        </w:rPr>
        <w:t xml:space="preserve">The </w:t>
      </w:r>
      <w:r w:rsidR="00B12CAD">
        <w:rPr>
          <w:rFonts w:asciiTheme="majorHAnsi" w:hAnsiTheme="majorHAnsi" w:cs="Arial"/>
          <w:bCs/>
          <w:sz w:val="28"/>
          <w:szCs w:val="28"/>
        </w:rPr>
        <w:t>requirement</w:t>
      </w:r>
      <w:r>
        <w:rPr>
          <w:rFonts w:asciiTheme="majorHAnsi" w:hAnsiTheme="majorHAnsi" w:cs="Arial"/>
          <w:bCs/>
          <w:sz w:val="28"/>
          <w:szCs w:val="28"/>
        </w:rPr>
        <w:t xml:space="preserve"> to integrate DRM and Climate Change thinking</w:t>
      </w:r>
      <w:r w:rsidR="00B12CAD">
        <w:rPr>
          <w:rFonts w:asciiTheme="majorHAnsi" w:hAnsiTheme="majorHAnsi" w:cs="Arial"/>
          <w:bCs/>
          <w:sz w:val="28"/>
          <w:szCs w:val="28"/>
        </w:rPr>
        <w:t xml:space="preserve"> into development planning and reporting could be reinforced through regular formal reminders to each ministry and agency at appropriate times during the annual planning cycle. Accountability could also be strengthened through improved community monitoring and participation. </w:t>
      </w:r>
    </w:p>
    <w:p w:rsidR="007F2830" w:rsidRPr="00EA1E21" w:rsidRDefault="007F2830" w:rsidP="007F2830">
      <w:pPr>
        <w:jc w:val="both"/>
        <w:rPr>
          <w:rFonts w:asciiTheme="majorHAnsi" w:hAnsiTheme="majorHAnsi" w:cs="Arial"/>
          <w:bCs/>
          <w:sz w:val="28"/>
          <w:szCs w:val="28"/>
        </w:rPr>
      </w:pPr>
    </w:p>
    <w:p w:rsidR="007F2830" w:rsidRPr="007F2830" w:rsidRDefault="007F2830" w:rsidP="007F2830">
      <w:pPr>
        <w:spacing w:after="240"/>
        <w:jc w:val="both"/>
        <w:rPr>
          <w:rFonts w:asciiTheme="majorHAnsi" w:hAnsiTheme="majorHAnsi" w:cs="Arial"/>
          <w:b/>
          <w:bCs/>
          <w:sz w:val="28"/>
          <w:szCs w:val="28"/>
        </w:rPr>
      </w:pPr>
      <w:r w:rsidRPr="007F2830">
        <w:rPr>
          <w:rFonts w:asciiTheme="majorHAnsi" w:hAnsiTheme="majorHAnsi" w:cs="Arial"/>
          <w:b/>
          <w:bCs/>
          <w:sz w:val="28"/>
          <w:szCs w:val="28"/>
        </w:rPr>
        <w:t>Linking DRM and Climate Change</w:t>
      </w:r>
    </w:p>
    <w:p w:rsidR="007F2830" w:rsidRPr="007F2830" w:rsidRDefault="007F2830" w:rsidP="007F2830">
      <w:pPr>
        <w:spacing w:after="240"/>
        <w:jc w:val="both"/>
        <w:rPr>
          <w:rFonts w:asciiTheme="majorHAnsi" w:hAnsiTheme="majorHAnsi" w:cs="Arial"/>
          <w:bCs/>
          <w:i/>
          <w:sz w:val="28"/>
          <w:szCs w:val="28"/>
        </w:rPr>
      </w:pPr>
      <w:r>
        <w:rPr>
          <w:rFonts w:asciiTheme="majorHAnsi" w:hAnsiTheme="majorHAnsi" w:cs="Arial"/>
          <w:bCs/>
          <w:i/>
          <w:sz w:val="28"/>
          <w:szCs w:val="28"/>
        </w:rPr>
        <w:t>P</w:t>
      </w:r>
      <w:r w:rsidRPr="007F2830">
        <w:rPr>
          <w:rFonts w:asciiTheme="majorHAnsi" w:hAnsiTheme="majorHAnsi" w:cs="Arial"/>
          <w:bCs/>
          <w:i/>
          <w:sz w:val="28"/>
          <w:szCs w:val="28"/>
        </w:rPr>
        <w:t>rogress in linking DRM and Climate Change</w:t>
      </w:r>
    </w:p>
    <w:p w:rsidR="007F2830" w:rsidRDefault="007F2830" w:rsidP="007F2830">
      <w:pPr>
        <w:spacing w:after="240"/>
        <w:jc w:val="both"/>
        <w:rPr>
          <w:rFonts w:asciiTheme="majorHAnsi" w:hAnsiTheme="majorHAnsi" w:cs="Arial"/>
          <w:bCs/>
          <w:sz w:val="28"/>
          <w:szCs w:val="28"/>
        </w:rPr>
      </w:pPr>
      <w:r>
        <w:rPr>
          <w:rFonts w:asciiTheme="majorHAnsi" w:hAnsiTheme="majorHAnsi" w:cs="Arial"/>
          <w:bCs/>
          <w:sz w:val="28"/>
          <w:szCs w:val="28"/>
        </w:rPr>
        <w:t>In Samoa, disaster risk management and climate change adaptation is linked at the implementation level through joint programming. Samoa does not have any ‘joint’ policy or action plan, nor does it have strong institutional linkages between disaster risk management and climate change. The government sentiment is that it is preferable to keep disaster risk mana</w:t>
      </w:r>
      <w:r w:rsidR="005A0BC2">
        <w:rPr>
          <w:rFonts w:asciiTheme="majorHAnsi" w:hAnsiTheme="majorHAnsi" w:cs="Arial"/>
          <w:bCs/>
          <w:sz w:val="28"/>
          <w:szCs w:val="28"/>
        </w:rPr>
        <w:t xml:space="preserve">gement and climate change as </w:t>
      </w:r>
      <w:r>
        <w:rPr>
          <w:rFonts w:asciiTheme="majorHAnsi" w:hAnsiTheme="majorHAnsi" w:cs="Arial"/>
          <w:bCs/>
          <w:sz w:val="28"/>
          <w:szCs w:val="28"/>
        </w:rPr>
        <w:t>independent entities</w:t>
      </w:r>
      <w:r w:rsidR="005A0BC2">
        <w:rPr>
          <w:rFonts w:asciiTheme="majorHAnsi" w:hAnsiTheme="majorHAnsi" w:cs="Arial"/>
          <w:bCs/>
          <w:sz w:val="28"/>
          <w:szCs w:val="28"/>
        </w:rPr>
        <w:t xml:space="preserve"> given their history of separate development. The DRM and CC authorities are more focused on ensuring that joint programming takes place during implementation. </w:t>
      </w:r>
    </w:p>
    <w:p w:rsidR="005A0BC2" w:rsidRDefault="005A0BC2" w:rsidP="005A0BC2">
      <w:pPr>
        <w:spacing w:after="120"/>
        <w:jc w:val="both"/>
        <w:rPr>
          <w:rFonts w:asciiTheme="majorHAnsi" w:hAnsiTheme="majorHAnsi" w:cs="Arial"/>
          <w:bCs/>
          <w:sz w:val="28"/>
          <w:szCs w:val="28"/>
        </w:rPr>
      </w:pPr>
    </w:p>
    <w:p w:rsidR="007F2830" w:rsidRDefault="005A0BC2" w:rsidP="005A0BC2">
      <w:pPr>
        <w:spacing w:after="240"/>
        <w:jc w:val="both"/>
        <w:rPr>
          <w:rFonts w:asciiTheme="majorHAnsi" w:hAnsiTheme="majorHAnsi" w:cs="Arial"/>
          <w:bCs/>
          <w:i/>
          <w:sz w:val="28"/>
          <w:szCs w:val="28"/>
        </w:rPr>
      </w:pPr>
      <w:r>
        <w:rPr>
          <w:rFonts w:asciiTheme="majorHAnsi" w:hAnsiTheme="majorHAnsi" w:cs="Arial"/>
          <w:bCs/>
          <w:i/>
          <w:sz w:val="28"/>
          <w:szCs w:val="28"/>
        </w:rPr>
        <w:t>I</w:t>
      </w:r>
      <w:r w:rsidR="007F2830" w:rsidRPr="005A0BC2">
        <w:rPr>
          <w:rFonts w:asciiTheme="majorHAnsi" w:hAnsiTheme="majorHAnsi" w:cs="Arial"/>
          <w:bCs/>
          <w:i/>
          <w:sz w:val="28"/>
          <w:szCs w:val="28"/>
        </w:rPr>
        <w:t xml:space="preserve">ntegrating disaster/climate risk assessment into land use and planning?  </w:t>
      </w:r>
    </w:p>
    <w:p w:rsidR="00EB3120" w:rsidRDefault="009B0300" w:rsidP="009B0300">
      <w:pPr>
        <w:spacing w:after="240"/>
        <w:jc w:val="both"/>
        <w:rPr>
          <w:rFonts w:asciiTheme="majorHAnsi" w:hAnsiTheme="majorHAnsi" w:cs="Arial"/>
          <w:bCs/>
          <w:sz w:val="28"/>
          <w:szCs w:val="28"/>
        </w:rPr>
      </w:pPr>
      <w:r>
        <w:rPr>
          <w:rFonts w:asciiTheme="majorHAnsi" w:hAnsiTheme="majorHAnsi" w:cs="Arial"/>
          <w:bCs/>
          <w:sz w:val="28"/>
          <w:szCs w:val="28"/>
        </w:rPr>
        <w:t xml:space="preserve">Samoa has a relatively sophisticated </w:t>
      </w:r>
      <w:r w:rsidR="00EB3120">
        <w:rPr>
          <w:rFonts w:asciiTheme="majorHAnsi" w:hAnsiTheme="majorHAnsi" w:cs="Arial"/>
          <w:bCs/>
          <w:sz w:val="28"/>
          <w:szCs w:val="28"/>
        </w:rPr>
        <w:t xml:space="preserve">system of screening development proposals by relevant agencies for negative social and environmental </w:t>
      </w:r>
      <w:r w:rsidR="00EB3120">
        <w:rPr>
          <w:rFonts w:asciiTheme="majorHAnsi" w:hAnsiTheme="majorHAnsi" w:cs="Arial"/>
          <w:bCs/>
          <w:sz w:val="28"/>
          <w:szCs w:val="28"/>
        </w:rPr>
        <w:lastRenderedPageBreak/>
        <w:t xml:space="preserve">outcomes. However there is a need to strengthen the provisions for disaster/climate risk assessment. </w:t>
      </w:r>
    </w:p>
    <w:p w:rsidR="00EB3120" w:rsidRDefault="00EB3120" w:rsidP="00EB3120">
      <w:pPr>
        <w:spacing w:after="240"/>
        <w:jc w:val="both"/>
        <w:rPr>
          <w:rFonts w:asciiTheme="majorHAnsi" w:hAnsiTheme="majorHAnsi" w:cs="Arial"/>
          <w:bCs/>
          <w:sz w:val="28"/>
          <w:szCs w:val="28"/>
        </w:rPr>
      </w:pPr>
      <w:r w:rsidRPr="00EB3120">
        <w:rPr>
          <w:rFonts w:asciiTheme="majorHAnsi" w:hAnsiTheme="majorHAnsi" w:cs="Arial"/>
          <w:bCs/>
          <w:sz w:val="28"/>
          <w:szCs w:val="28"/>
        </w:rPr>
        <w:t>The primary means of regulating development in Samoa is through land use planning under the Planning and Urban Management</w:t>
      </w:r>
      <w:r>
        <w:rPr>
          <w:rFonts w:asciiTheme="majorHAnsi" w:hAnsiTheme="majorHAnsi" w:cs="Arial"/>
          <w:bCs/>
          <w:sz w:val="28"/>
          <w:szCs w:val="28"/>
        </w:rPr>
        <w:t xml:space="preserve"> Act (2004) which promotes the sustainable use, development and management of natural and physical resources.  One of the 19 criteria of the ‘development consent process’ </w:t>
      </w:r>
      <w:r w:rsidRPr="00EB3120">
        <w:rPr>
          <w:rFonts w:asciiTheme="majorHAnsi" w:hAnsiTheme="majorHAnsi" w:cs="Arial"/>
          <w:bCs/>
          <w:sz w:val="28"/>
          <w:szCs w:val="28"/>
        </w:rPr>
        <w:t>provides for consideration of natural hazards such as flooding, earthquake, cyclone, subsidence, slip, drainage and erosion. Environmental Impact Assessment Regu</w:t>
      </w:r>
      <w:r>
        <w:rPr>
          <w:rFonts w:asciiTheme="majorHAnsi" w:hAnsiTheme="majorHAnsi" w:cs="Arial"/>
          <w:bCs/>
          <w:sz w:val="28"/>
          <w:szCs w:val="28"/>
        </w:rPr>
        <w:t xml:space="preserve">lations were introduced in 2007. A Code of Environmental Practice was introduced in 2006 </w:t>
      </w:r>
      <w:r w:rsidRPr="00EB3120">
        <w:rPr>
          <w:rFonts w:asciiTheme="majorHAnsi" w:hAnsiTheme="majorHAnsi" w:cs="Arial"/>
          <w:bCs/>
          <w:sz w:val="28"/>
          <w:szCs w:val="28"/>
        </w:rPr>
        <w:t>to define methods and/or procedures to be followed by consultants, designers and contractors for the avoidance or mitigation of adverse environmental effects that may arise out of infrastructure development projects or maintenance work.</w:t>
      </w:r>
    </w:p>
    <w:p w:rsidR="004A181C" w:rsidRDefault="004A181C" w:rsidP="004A181C">
      <w:pPr>
        <w:jc w:val="both"/>
        <w:rPr>
          <w:rFonts w:asciiTheme="majorHAnsi" w:hAnsiTheme="majorHAnsi" w:cs="Arial"/>
          <w:bCs/>
          <w:sz w:val="28"/>
          <w:szCs w:val="28"/>
        </w:rPr>
      </w:pPr>
    </w:p>
    <w:p w:rsidR="007F2830" w:rsidRDefault="00EE4FF2" w:rsidP="005A0BC2">
      <w:pPr>
        <w:spacing w:after="240"/>
        <w:jc w:val="both"/>
        <w:rPr>
          <w:rFonts w:asciiTheme="majorHAnsi" w:hAnsiTheme="majorHAnsi" w:cs="Arial"/>
          <w:bCs/>
          <w:i/>
          <w:sz w:val="28"/>
          <w:szCs w:val="28"/>
        </w:rPr>
      </w:pPr>
      <w:r>
        <w:rPr>
          <w:rFonts w:asciiTheme="majorHAnsi" w:hAnsiTheme="majorHAnsi" w:cs="Arial"/>
          <w:bCs/>
          <w:i/>
          <w:sz w:val="28"/>
          <w:szCs w:val="28"/>
        </w:rPr>
        <w:t>I</w:t>
      </w:r>
      <w:r w:rsidR="004A181C">
        <w:rPr>
          <w:rFonts w:asciiTheme="majorHAnsi" w:hAnsiTheme="majorHAnsi" w:cs="Arial"/>
          <w:bCs/>
          <w:i/>
          <w:sz w:val="28"/>
          <w:szCs w:val="28"/>
        </w:rPr>
        <w:t>ntegrating</w:t>
      </w:r>
      <w:r w:rsidR="007F2830" w:rsidRPr="005A0BC2">
        <w:rPr>
          <w:rFonts w:asciiTheme="majorHAnsi" w:hAnsiTheme="majorHAnsi" w:cs="Arial"/>
          <w:bCs/>
          <w:i/>
          <w:sz w:val="28"/>
          <w:szCs w:val="28"/>
        </w:rPr>
        <w:t xml:space="preserve"> disaster/climate risk </w:t>
      </w:r>
      <w:r w:rsidR="00A9163D">
        <w:rPr>
          <w:rFonts w:asciiTheme="majorHAnsi" w:hAnsiTheme="majorHAnsi" w:cs="Arial"/>
          <w:bCs/>
          <w:i/>
          <w:sz w:val="28"/>
          <w:szCs w:val="28"/>
        </w:rPr>
        <w:t>into urban planning and development</w:t>
      </w:r>
    </w:p>
    <w:p w:rsidR="00A339B2" w:rsidRPr="00EE4FF2" w:rsidRDefault="00A339B2" w:rsidP="00A339B2">
      <w:pPr>
        <w:spacing w:after="240"/>
        <w:jc w:val="both"/>
        <w:rPr>
          <w:rFonts w:asciiTheme="majorHAnsi" w:hAnsiTheme="majorHAnsi" w:cs="Arial"/>
          <w:bCs/>
          <w:sz w:val="28"/>
          <w:szCs w:val="28"/>
        </w:rPr>
      </w:pPr>
      <w:r w:rsidRPr="00EE4FF2">
        <w:rPr>
          <w:rFonts w:asciiTheme="majorHAnsi" w:hAnsiTheme="majorHAnsi" w:cs="Arial"/>
          <w:bCs/>
          <w:sz w:val="28"/>
          <w:szCs w:val="28"/>
        </w:rPr>
        <w:t xml:space="preserve">Disaster and climate risk </w:t>
      </w:r>
      <w:r w:rsidR="00EE4FF2">
        <w:rPr>
          <w:rFonts w:asciiTheme="majorHAnsi" w:hAnsiTheme="majorHAnsi" w:cs="Arial"/>
          <w:bCs/>
          <w:sz w:val="28"/>
          <w:szCs w:val="28"/>
        </w:rPr>
        <w:t>relating to human settlements is mitigated by a combination of building codes, drainage plans and maintenance, river bank protection</w:t>
      </w:r>
      <w:r w:rsidR="00673DB6">
        <w:rPr>
          <w:rFonts w:asciiTheme="majorHAnsi" w:hAnsiTheme="majorHAnsi" w:cs="Arial"/>
          <w:bCs/>
          <w:sz w:val="28"/>
          <w:szCs w:val="28"/>
        </w:rPr>
        <w:t xml:space="preserve"> and channel deepening</w:t>
      </w:r>
      <w:r w:rsidR="00EE4FF2">
        <w:rPr>
          <w:rFonts w:asciiTheme="majorHAnsi" w:hAnsiTheme="majorHAnsi" w:cs="Arial"/>
          <w:bCs/>
          <w:sz w:val="28"/>
          <w:szCs w:val="28"/>
        </w:rPr>
        <w:t xml:space="preserve">, spatial planning, and </w:t>
      </w:r>
      <w:r w:rsidR="00EE4FF2" w:rsidRPr="00A339B2">
        <w:rPr>
          <w:rFonts w:asciiTheme="majorHAnsi" w:hAnsiTheme="majorHAnsi" w:cs="Arial"/>
          <w:bCs/>
          <w:sz w:val="28"/>
          <w:szCs w:val="28"/>
          <w:lang w:val="en-US"/>
        </w:rPr>
        <w:t>Standards for roads, road reserves, drains, bridges and seawalls fall</w:t>
      </w:r>
      <w:r w:rsidR="00EE4FF2">
        <w:rPr>
          <w:rFonts w:asciiTheme="majorHAnsi" w:hAnsiTheme="majorHAnsi" w:cs="Arial"/>
          <w:bCs/>
          <w:sz w:val="28"/>
          <w:szCs w:val="28"/>
          <w:lang w:val="en-US"/>
        </w:rPr>
        <w:t>ing</w:t>
      </w:r>
      <w:r w:rsidR="00EE4FF2" w:rsidRPr="00A339B2">
        <w:rPr>
          <w:rFonts w:asciiTheme="majorHAnsi" w:hAnsiTheme="majorHAnsi" w:cs="Arial"/>
          <w:bCs/>
          <w:sz w:val="28"/>
          <w:szCs w:val="28"/>
          <w:lang w:val="en-US"/>
        </w:rPr>
        <w:t xml:space="preserve"> under the Land Transport Authority Act 2007</w:t>
      </w:r>
      <w:r w:rsidR="00EE4FF2">
        <w:rPr>
          <w:rFonts w:asciiTheme="majorHAnsi" w:hAnsiTheme="majorHAnsi" w:cs="Arial"/>
          <w:bCs/>
          <w:sz w:val="28"/>
          <w:szCs w:val="28"/>
          <w:lang w:val="en-US"/>
        </w:rPr>
        <w:t xml:space="preserve"> and the </w:t>
      </w:r>
      <w:r w:rsidR="00EE4FF2">
        <w:rPr>
          <w:rFonts w:asciiTheme="majorHAnsi" w:hAnsiTheme="majorHAnsi" w:cs="Arial"/>
          <w:bCs/>
          <w:sz w:val="28"/>
          <w:szCs w:val="28"/>
        </w:rPr>
        <w:t>Ministry of Works Act 2002.</w:t>
      </w:r>
    </w:p>
    <w:p w:rsidR="00673DB6" w:rsidRDefault="00EE4FF2" w:rsidP="00EE4FF2">
      <w:pPr>
        <w:spacing w:after="240"/>
        <w:jc w:val="both"/>
        <w:rPr>
          <w:rFonts w:asciiTheme="majorHAnsi" w:hAnsiTheme="majorHAnsi" w:cs="Arial"/>
          <w:bCs/>
          <w:sz w:val="28"/>
          <w:szCs w:val="28"/>
        </w:rPr>
      </w:pPr>
      <w:r w:rsidRPr="00A339B2">
        <w:rPr>
          <w:rFonts w:asciiTheme="majorHAnsi" w:hAnsiTheme="majorHAnsi" w:cs="Arial"/>
          <w:bCs/>
          <w:sz w:val="28"/>
          <w:szCs w:val="28"/>
        </w:rPr>
        <w:t xml:space="preserve">The Planning and Urban Management Agency (PUMA) </w:t>
      </w:r>
      <w:r w:rsidR="00673DB6">
        <w:rPr>
          <w:rFonts w:asciiTheme="majorHAnsi" w:hAnsiTheme="majorHAnsi" w:cs="Arial"/>
          <w:bCs/>
          <w:sz w:val="28"/>
          <w:szCs w:val="28"/>
        </w:rPr>
        <w:t xml:space="preserve">is the agency responsible for </w:t>
      </w:r>
      <w:r>
        <w:rPr>
          <w:rFonts w:asciiTheme="majorHAnsi" w:hAnsiTheme="majorHAnsi" w:cs="Arial"/>
          <w:bCs/>
          <w:sz w:val="28"/>
          <w:szCs w:val="28"/>
        </w:rPr>
        <w:t xml:space="preserve">urban planning, including the planning of new settlement areas. </w:t>
      </w:r>
    </w:p>
    <w:p w:rsidR="00673DB6" w:rsidRPr="00673DB6" w:rsidRDefault="00673DB6" w:rsidP="00673DB6">
      <w:pPr>
        <w:spacing w:after="240"/>
        <w:jc w:val="both"/>
        <w:rPr>
          <w:rFonts w:asciiTheme="majorHAnsi" w:hAnsiTheme="majorHAnsi" w:cs="Arial"/>
          <w:bCs/>
          <w:sz w:val="28"/>
          <w:szCs w:val="28"/>
        </w:rPr>
      </w:pPr>
      <w:r w:rsidRPr="00673DB6">
        <w:rPr>
          <w:rFonts w:asciiTheme="majorHAnsi" w:hAnsiTheme="majorHAnsi" w:cs="Arial"/>
          <w:bCs/>
          <w:sz w:val="28"/>
          <w:szCs w:val="28"/>
        </w:rPr>
        <w:t>The Coastal Infrastructure Management Strategy (CIM Strategy) is another important piece in the statutory architecture governing the planning of human settlements</w:t>
      </w:r>
      <w:r>
        <w:rPr>
          <w:rFonts w:asciiTheme="majorHAnsi" w:hAnsiTheme="majorHAnsi" w:cs="Arial"/>
          <w:bCs/>
          <w:sz w:val="28"/>
          <w:szCs w:val="28"/>
        </w:rPr>
        <w:t xml:space="preserve"> that takes disaster risk into account</w:t>
      </w:r>
      <w:r w:rsidRPr="00673DB6">
        <w:rPr>
          <w:rFonts w:asciiTheme="majorHAnsi" w:hAnsiTheme="majorHAnsi" w:cs="Arial"/>
          <w:bCs/>
          <w:sz w:val="28"/>
          <w:szCs w:val="28"/>
        </w:rPr>
        <w:t xml:space="preserve">. </w:t>
      </w:r>
      <w:r>
        <w:rPr>
          <w:rFonts w:asciiTheme="majorHAnsi" w:hAnsiTheme="majorHAnsi" w:cs="Arial"/>
          <w:bCs/>
          <w:sz w:val="28"/>
          <w:szCs w:val="28"/>
        </w:rPr>
        <w:t xml:space="preserve">The </w:t>
      </w:r>
      <w:r w:rsidRPr="00673DB6">
        <w:rPr>
          <w:rFonts w:asciiTheme="majorHAnsi" w:hAnsiTheme="majorHAnsi" w:cs="Arial"/>
          <w:bCs/>
          <w:sz w:val="28"/>
          <w:szCs w:val="28"/>
        </w:rPr>
        <w:t xml:space="preserve">CIM Strategy strives to promote better coastal infrastructure management at a national, district and local level, on issues relating to coastal hazards, protection of the environment and promotion of sustainable coastal development all in the context of improving resilience to natural hazards. CIM Plans have been developed for all of Samoa’s coastal districts. </w:t>
      </w:r>
      <w:r w:rsidR="00A5580F" w:rsidRPr="00A5580F">
        <w:rPr>
          <w:rFonts w:asciiTheme="majorHAnsi" w:hAnsiTheme="majorHAnsi" w:cs="Arial"/>
          <w:bCs/>
          <w:sz w:val="28"/>
          <w:szCs w:val="28"/>
        </w:rPr>
        <w:t>The CIM Plans lay out a series of solutions for a range of issues, including: road and drainage networks, power supply and distribution, water</w:t>
      </w:r>
      <w:r w:rsidR="00A5580F">
        <w:rPr>
          <w:rFonts w:asciiTheme="majorHAnsi" w:hAnsiTheme="majorHAnsi" w:cs="Arial"/>
          <w:bCs/>
          <w:sz w:val="28"/>
          <w:szCs w:val="28"/>
        </w:rPr>
        <w:t xml:space="preserve"> supply, and emergency plans. </w:t>
      </w:r>
    </w:p>
    <w:p w:rsidR="00315E6E" w:rsidRPr="00DC3029" w:rsidRDefault="00315E6E" w:rsidP="00D10907">
      <w:pPr>
        <w:jc w:val="both"/>
        <w:rPr>
          <w:rFonts w:asciiTheme="majorHAnsi" w:hAnsiTheme="majorHAnsi" w:cs="Arial"/>
          <w:sz w:val="28"/>
          <w:szCs w:val="28"/>
        </w:rPr>
      </w:pPr>
    </w:p>
    <w:p w:rsidR="00315E6E" w:rsidRPr="00DC3029" w:rsidRDefault="00F757AB" w:rsidP="00D10907">
      <w:pPr>
        <w:spacing w:after="120"/>
        <w:jc w:val="both"/>
        <w:rPr>
          <w:rFonts w:asciiTheme="majorHAnsi" w:hAnsiTheme="majorHAnsi" w:cs="Arial"/>
          <w:sz w:val="28"/>
          <w:szCs w:val="28"/>
        </w:rPr>
      </w:pPr>
      <w:r>
        <w:rPr>
          <w:rFonts w:asciiTheme="majorHAnsi" w:hAnsiTheme="majorHAnsi" w:cs="Arial"/>
          <w:sz w:val="28"/>
          <w:szCs w:val="28"/>
        </w:rPr>
        <w:lastRenderedPageBreak/>
        <w:t>CO</w:t>
      </w:r>
      <w:r w:rsidR="00315E6E" w:rsidRPr="00DC3029">
        <w:rPr>
          <w:rFonts w:asciiTheme="majorHAnsi" w:hAnsiTheme="majorHAnsi" w:cs="Arial"/>
          <w:sz w:val="28"/>
          <w:szCs w:val="28"/>
        </w:rPr>
        <w:t>NCLUSION</w:t>
      </w:r>
    </w:p>
    <w:p w:rsidR="00D10907" w:rsidRPr="00DC3029" w:rsidRDefault="00D10907" w:rsidP="00D10907">
      <w:pPr>
        <w:jc w:val="both"/>
        <w:rPr>
          <w:rFonts w:asciiTheme="majorHAnsi" w:hAnsiTheme="majorHAnsi" w:cs="Arial"/>
          <w:sz w:val="28"/>
          <w:szCs w:val="28"/>
        </w:rPr>
      </w:pPr>
      <w:r w:rsidRPr="00DC3029">
        <w:rPr>
          <w:rFonts w:asciiTheme="majorHAnsi" w:hAnsiTheme="majorHAnsi" w:cs="Arial"/>
          <w:sz w:val="28"/>
          <w:szCs w:val="28"/>
        </w:rPr>
        <w:t xml:space="preserve">The above reflects comments received from Samoa relating to the </w:t>
      </w:r>
      <w:r w:rsidR="00F757AB" w:rsidRPr="00F757AB">
        <w:rPr>
          <w:rFonts w:asciiTheme="majorHAnsi" w:hAnsiTheme="majorHAnsi" w:cs="Arial"/>
          <w:sz w:val="28"/>
          <w:szCs w:val="28"/>
        </w:rPr>
        <w:t xml:space="preserve">‘Guiding Questions for 'Roadmap' National Consultations’ </w:t>
      </w:r>
      <w:r w:rsidR="00F757AB">
        <w:rPr>
          <w:rFonts w:asciiTheme="majorHAnsi" w:hAnsiTheme="majorHAnsi" w:cs="Arial"/>
          <w:sz w:val="28"/>
          <w:szCs w:val="28"/>
        </w:rPr>
        <w:t xml:space="preserve">to inform the development of a post 2015 HFA arrangement. </w:t>
      </w:r>
    </w:p>
    <w:p w:rsidR="00D10907" w:rsidRPr="00DC3029" w:rsidRDefault="00D10907" w:rsidP="00AA25D5">
      <w:pPr>
        <w:rPr>
          <w:rFonts w:asciiTheme="majorHAnsi" w:hAnsiTheme="majorHAnsi" w:cs="Arial"/>
          <w:sz w:val="28"/>
          <w:szCs w:val="28"/>
        </w:rPr>
      </w:pPr>
    </w:p>
    <w:p w:rsidR="00BB70C5" w:rsidRPr="00DC3029" w:rsidRDefault="00BB70C5" w:rsidP="00AA25D5">
      <w:pPr>
        <w:rPr>
          <w:rFonts w:asciiTheme="majorHAnsi" w:hAnsiTheme="majorHAnsi"/>
          <w:sz w:val="28"/>
          <w:szCs w:val="28"/>
        </w:rPr>
      </w:pPr>
    </w:p>
    <w:p w:rsidR="00AB0838" w:rsidRPr="00DC3029" w:rsidRDefault="00AB0838" w:rsidP="00AA25D5">
      <w:pPr>
        <w:rPr>
          <w:rFonts w:asciiTheme="majorHAnsi" w:hAnsiTheme="majorHAnsi"/>
          <w:sz w:val="28"/>
          <w:szCs w:val="28"/>
        </w:rPr>
        <w:sectPr w:rsidR="00AB0838" w:rsidRPr="00DC3029" w:rsidSect="006E4E04">
          <w:footerReference w:type="even" r:id="rId9"/>
          <w:footerReference w:type="default" r:id="rId10"/>
          <w:pgSz w:w="11904" w:h="16836"/>
          <w:pgMar w:top="1440" w:right="1800" w:bottom="1440" w:left="1800" w:header="708" w:footer="708" w:gutter="0"/>
          <w:cols w:space="708"/>
          <w:titlePg/>
          <w:docGrid w:linePitch="360"/>
        </w:sectPr>
      </w:pPr>
    </w:p>
    <w:p w:rsidR="00BB70C5" w:rsidRPr="00DC3029" w:rsidRDefault="00BB1302" w:rsidP="00AA25D5">
      <w:pPr>
        <w:rPr>
          <w:rFonts w:asciiTheme="majorHAnsi" w:hAnsiTheme="majorHAnsi"/>
          <w:sz w:val="28"/>
          <w:szCs w:val="28"/>
        </w:rPr>
      </w:pPr>
      <w:r w:rsidRPr="00DC3029">
        <w:rPr>
          <w:rFonts w:asciiTheme="majorHAnsi" w:hAnsiTheme="majorHAnsi"/>
          <w:sz w:val="28"/>
          <w:szCs w:val="28"/>
        </w:rPr>
        <w:lastRenderedPageBreak/>
        <w:t>ANNEX 1: SAMOA MULTI-STAKEHOLDER WORKSHOP PARTICIPANTS</w:t>
      </w:r>
    </w:p>
    <w:p w:rsidR="00BB1302" w:rsidRPr="00DC3029" w:rsidRDefault="00BB1302" w:rsidP="00AA25D5">
      <w:pPr>
        <w:rPr>
          <w:rFonts w:asciiTheme="majorHAnsi" w:hAnsiTheme="majorHAnsi"/>
          <w:sz w:val="28"/>
          <w:szCs w:val="28"/>
        </w:rPr>
      </w:pPr>
    </w:p>
    <w:tbl>
      <w:tblPr>
        <w:tblW w:w="9446"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2"/>
        <w:gridCol w:w="2919"/>
        <w:gridCol w:w="3065"/>
      </w:tblGrid>
      <w:tr w:rsidR="00BB1302" w:rsidRPr="00DC3029" w:rsidTr="00BB1302">
        <w:trPr>
          <w:jc w:val="center"/>
        </w:trPr>
        <w:tc>
          <w:tcPr>
            <w:tcW w:w="3902" w:type="dxa"/>
            <w:shd w:val="clear" w:color="auto" w:fill="auto"/>
          </w:tcPr>
          <w:p w:rsidR="00BB1302" w:rsidRPr="00DC3029" w:rsidRDefault="00BB1302" w:rsidP="00BB1302">
            <w:pPr>
              <w:rPr>
                <w:rFonts w:ascii="Calibri" w:hAnsi="Calibri"/>
                <w:b/>
                <w:bCs/>
                <w:sz w:val="20"/>
                <w:szCs w:val="20"/>
              </w:rPr>
            </w:pPr>
            <w:r w:rsidRPr="00DC3029">
              <w:rPr>
                <w:rFonts w:ascii="Calibri" w:hAnsi="Calibri"/>
                <w:b/>
                <w:bCs/>
                <w:sz w:val="20"/>
                <w:szCs w:val="20"/>
              </w:rPr>
              <w:t>ORGANISATION</w:t>
            </w:r>
          </w:p>
        </w:tc>
        <w:tc>
          <w:tcPr>
            <w:tcW w:w="2479" w:type="dxa"/>
            <w:shd w:val="clear" w:color="auto" w:fill="auto"/>
          </w:tcPr>
          <w:p w:rsidR="00BB1302" w:rsidRPr="00DC3029" w:rsidRDefault="00BB1302" w:rsidP="00BB1302">
            <w:pPr>
              <w:rPr>
                <w:rFonts w:ascii="Calibri" w:hAnsi="Calibri"/>
                <w:b/>
                <w:bCs/>
                <w:sz w:val="20"/>
                <w:szCs w:val="20"/>
              </w:rPr>
            </w:pPr>
            <w:r w:rsidRPr="00DC3029">
              <w:rPr>
                <w:rFonts w:ascii="Calibri" w:hAnsi="Calibri"/>
                <w:b/>
                <w:bCs/>
                <w:sz w:val="20"/>
                <w:szCs w:val="20"/>
              </w:rPr>
              <w:t>NAME</w:t>
            </w:r>
          </w:p>
        </w:tc>
        <w:tc>
          <w:tcPr>
            <w:tcW w:w="3065" w:type="dxa"/>
            <w:shd w:val="clear" w:color="auto" w:fill="auto"/>
          </w:tcPr>
          <w:p w:rsidR="00BB1302" w:rsidRPr="00DC3029" w:rsidRDefault="00BB1302" w:rsidP="00BB1302">
            <w:pPr>
              <w:rPr>
                <w:rFonts w:ascii="Calibri" w:hAnsi="Calibri"/>
                <w:b/>
                <w:bCs/>
                <w:sz w:val="20"/>
                <w:szCs w:val="20"/>
              </w:rPr>
            </w:pPr>
            <w:r w:rsidRPr="00DC3029">
              <w:rPr>
                <w:rFonts w:ascii="Calibri" w:hAnsi="Calibri"/>
                <w:b/>
                <w:bCs/>
                <w:sz w:val="20"/>
                <w:szCs w:val="20"/>
              </w:rPr>
              <w:t>EMAIL</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Land Transport Authority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RusetanetiTaaloga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ruseta.taaloga@lta.gov.ws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Land Transport Authority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TuisegaLui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tui@lta.gov.ws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 xml:space="preserve">Ministry of Agriculture &amp; Fisheries </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FaletoiSunai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faletoi.sunai@maf.gov.ws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Ministry of Commerce, Industry and Labour (Occupational Health and Safety)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Tuialii Sonny Tuilagi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sonny.tuilagi@mcil.gov.ws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Ministry of Commerce, Industry and Labour</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Si’ili’iliAumuaIsaiaLameko</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Ili.isaia@mcil.gov.ws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Ministry of Communication &amp; Information Technology (Policy &amp; Planning)</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LeueluSetu</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lsetu@mcit.gov.ws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 xml:space="preserve">Ministry of Health </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Victoria Faasili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victoria@health.gov.ws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Ministry of Health</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GaualofaMatalaveaSaaga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gaualofa@health.gov.ws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Ministry of Police &amp; Prison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LemameaSuaTiumalu</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suatiumalu@gmail.com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hanging="284"/>
              <w:rPr>
                <w:rFonts w:ascii="Calibri" w:hAnsi="Calibri"/>
                <w:sz w:val="20"/>
                <w:szCs w:val="20"/>
              </w:rPr>
            </w:pPr>
            <w:r w:rsidRPr="00DC3029">
              <w:rPr>
                <w:rFonts w:ascii="Calibri" w:hAnsi="Calibri"/>
                <w:sz w:val="20"/>
                <w:szCs w:val="20"/>
              </w:rPr>
              <w:t>Ministry of Police &amp; Prison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TagaoloIosefatu Wright</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wright@yahoo.com.au</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284" w:right="-389" w:hanging="284"/>
              <w:rPr>
                <w:rFonts w:ascii="Calibri" w:hAnsi="Calibri"/>
                <w:sz w:val="20"/>
                <w:szCs w:val="20"/>
              </w:rPr>
            </w:pPr>
            <w:r w:rsidRPr="00DC3029">
              <w:rPr>
                <w:rFonts w:ascii="Calibri" w:hAnsi="Calibri"/>
                <w:sz w:val="20"/>
                <w:szCs w:val="20"/>
              </w:rPr>
              <w:t xml:space="preserve">Ministry of Prime Minister &amp; Cabinet </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MueluMeutoga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muelu.meutoga@mpmc.gov.ws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Natural Resources &amp; Environment (Water Resources Division)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SuluimaloAmatagaPenaia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amataga.penaia@mnre.gov.ws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Finance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Oscar Malielegaoi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oscar.malielegaoi@mof.gov.ws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Women, Community &amp; Social Development</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LeitualaKuiniselaniToelupeElisara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lani_tago@lesamoa.net</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Women, Community &amp; Social Development (Division for Women and Children)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VaialiIosua</w:t>
            </w:r>
          </w:p>
          <w:p w:rsidR="00BB1302" w:rsidRPr="00DC3029" w:rsidRDefault="00BB1302" w:rsidP="00BB1302">
            <w:pPr>
              <w:rPr>
                <w:rFonts w:ascii="Calibri" w:hAnsi="Calibri"/>
                <w:sz w:val="20"/>
                <w:szCs w:val="20"/>
              </w:rPr>
            </w:pP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viosua@lesamoa.net</w:t>
            </w:r>
          </w:p>
          <w:p w:rsidR="00BB1302" w:rsidRPr="00DC3029" w:rsidRDefault="00BB1302" w:rsidP="00BB1302">
            <w:pPr>
              <w:rPr>
                <w:rFonts w:ascii="Calibri" w:hAnsi="Calibri"/>
                <w:sz w:val="20"/>
                <w:szCs w:val="20"/>
              </w:rPr>
            </w:pPr>
            <w:r w:rsidRPr="00DC3029">
              <w:rPr>
                <w:rFonts w:ascii="Calibri" w:hAnsi="Calibri"/>
                <w:sz w:val="20"/>
                <w:szCs w:val="20"/>
              </w:rPr>
              <w:t>vaialia.iosua@mwcsd.gov.ws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Women, Community &amp; Social Development (Division for Internal Affairs)</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Tupa’i S. Posese</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tupaisila@yahoo.com</w:t>
            </w:r>
          </w:p>
          <w:p w:rsidR="00BB1302" w:rsidRPr="00DC3029" w:rsidRDefault="00BB1302" w:rsidP="00BB1302">
            <w:pPr>
              <w:rPr>
                <w:rFonts w:ascii="Calibri" w:hAnsi="Calibri"/>
                <w:sz w:val="20"/>
                <w:szCs w:val="20"/>
              </w:rPr>
            </w:pP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Petroleum Products Supplies</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TutoatasiSetu</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tutoatasiS@ppssamoa.com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Fire &amp; Emergency Services Authority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TipaulaLaupue</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t.laupue@sfesa.ws</w:t>
            </w:r>
          </w:p>
          <w:p w:rsidR="00BB1302" w:rsidRPr="00DC3029" w:rsidRDefault="00BB1302" w:rsidP="00BB1302">
            <w:pPr>
              <w:rPr>
                <w:rFonts w:ascii="Calibri" w:hAnsi="Calibri"/>
                <w:sz w:val="20"/>
                <w:szCs w:val="20"/>
              </w:rPr>
            </w:pP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Quality Broadcasting</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TilomaiPoloie</w:t>
            </w:r>
          </w:p>
        </w:tc>
        <w:tc>
          <w:tcPr>
            <w:tcW w:w="3065" w:type="dxa"/>
            <w:shd w:val="clear" w:color="auto" w:fill="auto"/>
          </w:tcPr>
          <w:p w:rsidR="00BB1302" w:rsidRPr="00DC3029" w:rsidRDefault="00BB1302" w:rsidP="00BB1302">
            <w:pPr>
              <w:rPr>
                <w:rFonts w:ascii="Calibri" w:hAnsi="Calibri"/>
                <w:sz w:val="20"/>
                <w:szCs w:val="20"/>
              </w:rPr>
            </w:pP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National Health Service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LeutogiTeo</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leutogiteo@yahoo.com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National Health Service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LeotaVaitoelau</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vaitoelaukolia@yahoo.com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National Health Service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Ana Akapo</w:t>
            </w:r>
          </w:p>
        </w:tc>
        <w:tc>
          <w:tcPr>
            <w:tcW w:w="3065" w:type="dxa"/>
            <w:shd w:val="clear" w:color="auto" w:fill="auto"/>
          </w:tcPr>
          <w:p w:rsidR="00BB1302" w:rsidRPr="00DC3029" w:rsidRDefault="00BB1302" w:rsidP="00BB1302">
            <w:pPr>
              <w:rPr>
                <w:rFonts w:ascii="Calibri" w:hAnsi="Calibri"/>
                <w:sz w:val="20"/>
                <w:szCs w:val="20"/>
              </w:rPr>
            </w:pP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National Health Service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June ScanlanLui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junes@nhs.gov.ws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Airport Authority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AneSalanoa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salanoa@airportssamoa.ws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Ports Authority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IelomeMulumulu</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spa@spasamoa.ws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Red Cross Society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Francisco Fido</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f.fido@redcross.org.ws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Red Cross Society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Lemau. A.M. Afamasaga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lemauafamasaga@redcross.org.ws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Shipping Corporation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Mataia T. Maafi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mataia@shipping.com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Adventist Development and Relief Agency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Virginia Pycroft</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v.pycroft@gmail.com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Adventist Development and Relief Agency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Fuatino Ah Wai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f.ahwai@yahoo.com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Umbrella for NGOs (SUNGO)</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RoinaFaatauvaa-Vavatau</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roina@sungo.ws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Umbrella for NGOs (SUNGO)</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Raymond C. Voigt</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rcvoigt@gmail.com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New Zealand High Commission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Christine Saaga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christine.saaga@mfat.govt.nz</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Office of The Regulator</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EteuatiEteneti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eeteuati@regulator.gov.ws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lastRenderedPageBreak/>
              <w:t>National University of Samoa</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Henry Simi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h.simi@nus.edu.ws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National University of Samoa</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MandriaSua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mandria.sua@nus.edu.ws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Hotel Association</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FlorinaSamia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florina@samoa-hotels.ws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United States of America Embassy</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FeagaiMatatia-Maisa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Matatia-Maisaf@state.gov</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AusAID</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Frances Sutherland</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Frances.sutherland@ausaid.gov.au</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WHO</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Steven Mcartney</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mecartneys@wpro.who.int</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SQA</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SeuamuliVeniGaugatao</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sqa@sqa.gov.ws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Samoa Red Cross</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IsaraIsara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iisara22@yahoo.com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EPC: OHS</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PanaiaKoro</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korop@epc.ws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Natural Resources and Environment (Meteorology Division – Geoscience)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Lameko Talia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lameko.talia@mnre.gov.ws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Attorney General’s Office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SioaSioa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sioa.sioa@ag.gov.ws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National Health Services (Emergency and Outpatient Services)</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Dr AmitaCatterjee</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Abhinavchatterjee.ae@gmail.com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UNESCO</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Dr Denis Chang Seng</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denischangseng@hotmail.com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Australian Red Cross</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Dawn Sua</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dawnsua68@gmail.com</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Natural Resources and Environment (Disaster Management Office)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VaitoaToclupe</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Vaitoa.toclupe@mnre.gov.ws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Natural Resources and Environment (Disaster Management Office)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Toai Bartley</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Toai.bartley@mnre.gov.ws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Natural Resources and Environment (Disaster Management Office)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Filomena Nelson</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filomena.nelson@mnre.gov.ws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Ministry of Natural Resources and Environment (Disaster Management Office)</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James Mauai</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james.mauai@mnre.gov.ws</w:t>
            </w:r>
          </w:p>
        </w:tc>
      </w:tr>
      <w:tr w:rsidR="00BB1302" w:rsidRPr="00DC3029" w:rsidTr="00BB1302">
        <w:trPr>
          <w:jc w:val="center"/>
        </w:trPr>
        <w:tc>
          <w:tcPr>
            <w:tcW w:w="3902" w:type="dxa"/>
            <w:shd w:val="clear" w:color="auto" w:fill="auto"/>
          </w:tcPr>
          <w:p w:rsidR="00BB1302" w:rsidRPr="00DC3029" w:rsidRDefault="00BB1302" w:rsidP="00BB1302">
            <w:pPr>
              <w:pStyle w:val="ListParagraph"/>
              <w:numPr>
                <w:ilvl w:val="0"/>
                <w:numId w:val="1"/>
              </w:numPr>
              <w:ind w:left="426" w:hanging="426"/>
              <w:rPr>
                <w:rFonts w:ascii="Calibri" w:hAnsi="Calibri"/>
                <w:sz w:val="20"/>
                <w:szCs w:val="20"/>
              </w:rPr>
            </w:pPr>
            <w:r w:rsidRPr="00DC3029">
              <w:rPr>
                <w:rFonts w:ascii="Calibri" w:hAnsi="Calibri"/>
                <w:sz w:val="20"/>
                <w:szCs w:val="20"/>
              </w:rPr>
              <w:t>UNISDR</w:t>
            </w:r>
          </w:p>
        </w:tc>
        <w:tc>
          <w:tcPr>
            <w:tcW w:w="2479"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AkapusiTuifagalele</w:t>
            </w:r>
          </w:p>
        </w:tc>
        <w:tc>
          <w:tcPr>
            <w:tcW w:w="3065" w:type="dxa"/>
            <w:shd w:val="clear" w:color="auto" w:fill="auto"/>
          </w:tcPr>
          <w:p w:rsidR="00BB1302" w:rsidRPr="00DC3029" w:rsidRDefault="00BB1302" w:rsidP="00BB1302">
            <w:pPr>
              <w:rPr>
                <w:rFonts w:ascii="Calibri" w:hAnsi="Calibri"/>
                <w:sz w:val="20"/>
                <w:szCs w:val="20"/>
              </w:rPr>
            </w:pPr>
            <w:r w:rsidRPr="00DC3029">
              <w:rPr>
                <w:rFonts w:ascii="Calibri" w:hAnsi="Calibri"/>
                <w:sz w:val="20"/>
                <w:szCs w:val="20"/>
              </w:rPr>
              <w:t>Tuifagalele@un.org</w:t>
            </w:r>
          </w:p>
        </w:tc>
      </w:tr>
      <w:tr w:rsidR="00BB1302" w:rsidRPr="00DC3029" w:rsidTr="00BB1302">
        <w:trPr>
          <w:jc w:val="center"/>
        </w:trPr>
        <w:tc>
          <w:tcPr>
            <w:tcW w:w="3902" w:type="dxa"/>
            <w:shd w:val="clear" w:color="auto" w:fill="auto"/>
          </w:tcPr>
          <w:p w:rsidR="00BB1302" w:rsidRPr="00DC3029" w:rsidRDefault="00BB1302" w:rsidP="00BB1302">
            <w:pPr>
              <w:numPr>
                <w:ilvl w:val="0"/>
                <w:numId w:val="1"/>
              </w:numPr>
              <w:spacing w:after="60"/>
              <w:ind w:left="459" w:hanging="459"/>
              <w:rPr>
                <w:rFonts w:ascii="Calibri" w:hAnsi="Calibri" w:cs="Arial"/>
                <w:sz w:val="20"/>
                <w:szCs w:val="20"/>
              </w:rPr>
            </w:pPr>
            <w:r w:rsidRPr="00DC3029">
              <w:rPr>
                <w:rFonts w:ascii="Calibri" w:hAnsi="Calibri" w:cs="Arial"/>
                <w:sz w:val="20"/>
                <w:szCs w:val="20"/>
              </w:rPr>
              <w:t>SPREP (Pacific Futures Program – Climate Change)</w:t>
            </w:r>
          </w:p>
        </w:tc>
        <w:tc>
          <w:tcPr>
            <w:tcW w:w="2479"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NetaPelesikoti</w:t>
            </w:r>
          </w:p>
        </w:tc>
        <w:tc>
          <w:tcPr>
            <w:tcW w:w="3065"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netatuap@sprep.org</w:t>
            </w:r>
          </w:p>
        </w:tc>
      </w:tr>
      <w:tr w:rsidR="00BB1302" w:rsidRPr="00DC3029" w:rsidTr="00BB1302">
        <w:trPr>
          <w:jc w:val="center"/>
        </w:trPr>
        <w:tc>
          <w:tcPr>
            <w:tcW w:w="3902" w:type="dxa"/>
            <w:shd w:val="clear" w:color="auto" w:fill="auto"/>
          </w:tcPr>
          <w:p w:rsidR="00BB1302" w:rsidRPr="00DC3029" w:rsidRDefault="00BB1302" w:rsidP="00BB1302">
            <w:pPr>
              <w:numPr>
                <w:ilvl w:val="0"/>
                <w:numId w:val="1"/>
              </w:numPr>
              <w:spacing w:after="60"/>
              <w:ind w:left="459" w:hanging="459"/>
              <w:rPr>
                <w:rFonts w:ascii="Calibri" w:hAnsi="Calibri" w:cs="Arial"/>
                <w:sz w:val="20"/>
                <w:szCs w:val="20"/>
              </w:rPr>
            </w:pPr>
            <w:r w:rsidRPr="00DC3029">
              <w:rPr>
                <w:rFonts w:ascii="Calibri" w:hAnsi="Calibri" w:cs="Arial"/>
                <w:sz w:val="20"/>
                <w:szCs w:val="20"/>
              </w:rPr>
              <w:t>SPREP (Biodiveristy)</w:t>
            </w:r>
          </w:p>
        </w:tc>
        <w:tc>
          <w:tcPr>
            <w:tcW w:w="2479"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TepaSuaesi</w:t>
            </w:r>
          </w:p>
        </w:tc>
        <w:tc>
          <w:tcPr>
            <w:tcW w:w="3065"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tepas@sprep.org</w:t>
            </w:r>
          </w:p>
        </w:tc>
      </w:tr>
      <w:tr w:rsidR="00BB1302" w:rsidRPr="00DC3029" w:rsidTr="00BB1302">
        <w:trPr>
          <w:jc w:val="center"/>
        </w:trPr>
        <w:tc>
          <w:tcPr>
            <w:tcW w:w="3902" w:type="dxa"/>
            <w:shd w:val="clear" w:color="auto" w:fill="auto"/>
          </w:tcPr>
          <w:p w:rsidR="00BB1302" w:rsidRPr="00DC3029" w:rsidRDefault="00BB1302" w:rsidP="00BB1302">
            <w:pPr>
              <w:numPr>
                <w:ilvl w:val="0"/>
                <w:numId w:val="1"/>
              </w:numPr>
              <w:spacing w:after="60"/>
              <w:ind w:left="459" w:hanging="459"/>
              <w:rPr>
                <w:rFonts w:ascii="Calibri" w:hAnsi="Calibri" w:cs="Arial"/>
                <w:sz w:val="20"/>
                <w:szCs w:val="20"/>
              </w:rPr>
            </w:pPr>
            <w:r w:rsidRPr="00DC3029">
              <w:rPr>
                <w:rFonts w:ascii="Calibri" w:hAnsi="Calibri" w:cs="Arial"/>
                <w:sz w:val="20"/>
                <w:szCs w:val="20"/>
              </w:rPr>
              <w:t>SPREP (Biodiversity)</w:t>
            </w:r>
          </w:p>
        </w:tc>
        <w:tc>
          <w:tcPr>
            <w:tcW w:w="2479"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Easter Chu Shing-Galuvao</w:t>
            </w:r>
          </w:p>
        </w:tc>
        <w:tc>
          <w:tcPr>
            <w:tcW w:w="3065"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easterg@sprep.org</w:t>
            </w:r>
          </w:p>
        </w:tc>
      </w:tr>
      <w:tr w:rsidR="00BB1302" w:rsidRPr="00DC3029" w:rsidTr="00BB1302">
        <w:trPr>
          <w:jc w:val="center"/>
        </w:trPr>
        <w:tc>
          <w:tcPr>
            <w:tcW w:w="3902" w:type="dxa"/>
            <w:shd w:val="clear" w:color="auto" w:fill="auto"/>
          </w:tcPr>
          <w:p w:rsidR="00BB1302" w:rsidRPr="00DC3029" w:rsidRDefault="00BB1302" w:rsidP="00BB1302">
            <w:pPr>
              <w:numPr>
                <w:ilvl w:val="0"/>
                <w:numId w:val="1"/>
              </w:numPr>
              <w:spacing w:after="60"/>
              <w:ind w:left="459" w:hanging="459"/>
              <w:rPr>
                <w:rFonts w:ascii="Calibri" w:hAnsi="Calibri" w:cs="Arial"/>
                <w:sz w:val="20"/>
                <w:szCs w:val="20"/>
              </w:rPr>
            </w:pPr>
            <w:r w:rsidRPr="00DC3029">
              <w:rPr>
                <w:rFonts w:ascii="Calibri" w:hAnsi="Calibri" w:cs="Arial"/>
                <w:sz w:val="20"/>
                <w:szCs w:val="20"/>
              </w:rPr>
              <w:t>SPREP (Pacific Futures Program – PACC Project)</w:t>
            </w:r>
          </w:p>
        </w:tc>
        <w:tc>
          <w:tcPr>
            <w:tcW w:w="2479"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Taito Nakalevu</w:t>
            </w:r>
          </w:p>
        </w:tc>
        <w:tc>
          <w:tcPr>
            <w:tcW w:w="3065" w:type="dxa"/>
            <w:shd w:val="clear" w:color="auto" w:fill="auto"/>
          </w:tcPr>
          <w:p w:rsidR="00BB1302" w:rsidRPr="00DC3029" w:rsidRDefault="00BB1302" w:rsidP="00BB1302">
            <w:pPr>
              <w:tabs>
                <w:tab w:val="left" w:pos="1554"/>
              </w:tabs>
              <w:spacing w:after="60"/>
              <w:rPr>
                <w:rFonts w:ascii="Calibri" w:hAnsi="Calibri" w:cs="Arial"/>
                <w:sz w:val="20"/>
                <w:szCs w:val="20"/>
              </w:rPr>
            </w:pPr>
            <w:r w:rsidRPr="00DC3029">
              <w:rPr>
                <w:rFonts w:ascii="Calibri" w:hAnsi="Calibri" w:cs="Arial"/>
                <w:sz w:val="20"/>
                <w:szCs w:val="20"/>
              </w:rPr>
              <w:t>taiton@sprep.org</w:t>
            </w:r>
          </w:p>
        </w:tc>
      </w:tr>
    </w:tbl>
    <w:p w:rsidR="00F757AB" w:rsidRPr="00DC3029" w:rsidRDefault="00F757AB" w:rsidP="00F757AB">
      <w:pPr>
        <w:rPr>
          <w:rFonts w:asciiTheme="majorHAnsi" w:hAnsiTheme="majorHAnsi"/>
          <w:sz w:val="28"/>
          <w:szCs w:val="28"/>
        </w:rPr>
      </w:pPr>
    </w:p>
    <w:sectPr w:rsidR="00F757AB" w:rsidRPr="00DC3029" w:rsidSect="00BB1302">
      <w:footerReference w:type="default" r:id="rId11"/>
      <w:pgSz w:w="11904" w:h="16836"/>
      <w:pgMar w:top="1440" w:right="1556"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315" w:rsidRDefault="00A90315" w:rsidP="006E4E04">
      <w:r>
        <w:separator/>
      </w:r>
    </w:p>
  </w:endnote>
  <w:endnote w:type="continuationSeparator" w:id="1">
    <w:p w:rsidR="00A90315" w:rsidRDefault="00A90315" w:rsidP="006E4E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F2" w:rsidRDefault="005A62E0" w:rsidP="006E4E04">
    <w:pPr>
      <w:pStyle w:val="Footer"/>
      <w:framePr w:wrap="around" w:vAnchor="text" w:hAnchor="margin" w:xAlign="right" w:y="1"/>
      <w:rPr>
        <w:rStyle w:val="PageNumber"/>
      </w:rPr>
    </w:pPr>
    <w:r>
      <w:rPr>
        <w:rStyle w:val="PageNumber"/>
      </w:rPr>
      <w:fldChar w:fldCharType="begin"/>
    </w:r>
    <w:r w:rsidR="00EE4FF2">
      <w:rPr>
        <w:rStyle w:val="PageNumber"/>
      </w:rPr>
      <w:instrText xml:space="preserve">PAGE  </w:instrText>
    </w:r>
    <w:r>
      <w:rPr>
        <w:rStyle w:val="PageNumber"/>
      </w:rPr>
      <w:fldChar w:fldCharType="end"/>
    </w:r>
  </w:p>
  <w:p w:rsidR="00EE4FF2" w:rsidRDefault="00EE4FF2" w:rsidP="006E4E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F2" w:rsidRDefault="005A62E0" w:rsidP="006E4E04">
    <w:pPr>
      <w:pStyle w:val="Footer"/>
      <w:framePr w:wrap="around" w:vAnchor="text" w:hAnchor="margin" w:xAlign="right" w:y="1"/>
      <w:rPr>
        <w:rStyle w:val="PageNumber"/>
      </w:rPr>
    </w:pPr>
    <w:r>
      <w:rPr>
        <w:rStyle w:val="PageNumber"/>
      </w:rPr>
      <w:fldChar w:fldCharType="begin"/>
    </w:r>
    <w:r w:rsidR="00EE4FF2">
      <w:rPr>
        <w:rStyle w:val="PageNumber"/>
      </w:rPr>
      <w:instrText xml:space="preserve">PAGE  </w:instrText>
    </w:r>
    <w:r>
      <w:rPr>
        <w:rStyle w:val="PageNumber"/>
      </w:rPr>
      <w:fldChar w:fldCharType="separate"/>
    </w:r>
    <w:r w:rsidR="00A9163D">
      <w:rPr>
        <w:rStyle w:val="PageNumber"/>
        <w:noProof/>
      </w:rPr>
      <w:t>5</w:t>
    </w:r>
    <w:r>
      <w:rPr>
        <w:rStyle w:val="PageNumber"/>
      </w:rPr>
      <w:fldChar w:fldCharType="end"/>
    </w:r>
  </w:p>
  <w:p w:rsidR="00EE4FF2" w:rsidRDefault="00EE4FF2" w:rsidP="006E4E0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F2" w:rsidRDefault="00EE4FF2" w:rsidP="006E4E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315" w:rsidRDefault="00A90315" w:rsidP="006E4E04">
      <w:r>
        <w:separator/>
      </w:r>
    </w:p>
  </w:footnote>
  <w:footnote w:type="continuationSeparator" w:id="1">
    <w:p w:rsidR="00A90315" w:rsidRDefault="00A90315" w:rsidP="006E4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6D48"/>
    <w:multiLevelType w:val="hybridMultilevel"/>
    <w:tmpl w:val="44C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28AB"/>
    <w:multiLevelType w:val="hybridMultilevel"/>
    <w:tmpl w:val="B49E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A527A2"/>
    <w:multiLevelType w:val="hybridMultilevel"/>
    <w:tmpl w:val="43A8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33B22"/>
    <w:multiLevelType w:val="hybridMultilevel"/>
    <w:tmpl w:val="712ABE4C"/>
    <w:lvl w:ilvl="0" w:tplc="53FECD8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4518B"/>
    <w:multiLevelType w:val="hybridMultilevel"/>
    <w:tmpl w:val="80B8A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EC420C"/>
    <w:multiLevelType w:val="hybridMultilevel"/>
    <w:tmpl w:val="560C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831A9"/>
    <w:multiLevelType w:val="hybridMultilevel"/>
    <w:tmpl w:val="A81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636BBE"/>
    <w:multiLevelType w:val="hybridMultilevel"/>
    <w:tmpl w:val="59CA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757D22"/>
    <w:multiLevelType w:val="hybridMultilevel"/>
    <w:tmpl w:val="F2AC5E96"/>
    <w:lvl w:ilvl="0" w:tplc="D6061B70">
      <w:start w:val="1"/>
      <w:numFmt w:val="decimal"/>
      <w:lvlText w:val="%1."/>
      <w:lvlJc w:val="left"/>
      <w:pPr>
        <w:tabs>
          <w:tab w:val="num" w:pos="360"/>
        </w:tabs>
        <w:ind w:left="360" w:hanging="360"/>
      </w:pPr>
      <w:rPr>
        <w:rFonts w:hint="default"/>
        <w:b w:val="0"/>
        <w:color w:val="auto"/>
      </w:rPr>
    </w:lvl>
    <w:lvl w:ilvl="1" w:tplc="04090003">
      <w:start w:val="1"/>
      <w:numFmt w:val="bullet"/>
      <w:lvlText w:val=""/>
      <w:lvlJc w:val="left"/>
      <w:pPr>
        <w:tabs>
          <w:tab w:val="num" w:pos="1440"/>
        </w:tabs>
        <w:ind w:left="1440" w:hanging="360"/>
      </w:pPr>
      <w:rPr>
        <w:rFonts w:ascii="Symbol" w:hAnsi="Symbol" w:hint="default"/>
        <w:color w:val="FF33CC"/>
      </w:rPr>
    </w:lvl>
    <w:lvl w:ilvl="2" w:tplc="04090005">
      <w:start w:val="1"/>
      <w:numFmt w:val="lowerRoman"/>
      <w:lvlText w:val="%3."/>
      <w:lvlJc w:val="left"/>
      <w:pPr>
        <w:tabs>
          <w:tab w:val="num" w:pos="2700"/>
        </w:tabs>
        <w:ind w:left="2700" w:hanging="720"/>
      </w:pPr>
      <w:rPr>
        <w:rFonts w:hint="default"/>
      </w:rPr>
    </w:lvl>
    <w:lvl w:ilvl="3" w:tplc="04090001">
      <w:start w:val="1"/>
      <w:numFmt w:val="lowerRoman"/>
      <w:lvlText w:val="(%4)"/>
      <w:lvlJc w:val="left"/>
      <w:pPr>
        <w:tabs>
          <w:tab w:val="num" w:pos="3240"/>
        </w:tabs>
        <w:ind w:left="3240" w:hanging="720"/>
      </w:pPr>
      <w:rPr>
        <w:rFonts w:hint="default"/>
      </w:rPr>
    </w:lvl>
    <w:lvl w:ilvl="4" w:tplc="04090003">
      <w:start w:val="1"/>
      <w:numFmt w:val="lowerLetter"/>
      <w:lvlText w:val="(%5)"/>
      <w:lvlJc w:val="left"/>
      <w:pPr>
        <w:tabs>
          <w:tab w:val="num" w:pos="3600"/>
        </w:tabs>
        <w:ind w:left="3600" w:hanging="360"/>
      </w:pPr>
      <w:rPr>
        <w:rFonts w:hint="default"/>
      </w:r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7AEF68B4"/>
    <w:multiLevelType w:val="hybridMultilevel"/>
    <w:tmpl w:val="0710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817EE4"/>
    <w:multiLevelType w:val="hybridMultilevel"/>
    <w:tmpl w:val="AEEE6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0"/>
  </w:num>
  <w:num w:numId="4">
    <w:abstractNumId w:val="7"/>
  </w:num>
  <w:num w:numId="5">
    <w:abstractNumId w:val="8"/>
  </w:num>
  <w:num w:numId="6">
    <w:abstractNumId w:val="2"/>
  </w:num>
  <w:num w:numId="7">
    <w:abstractNumId w:val="0"/>
  </w:num>
  <w:num w:numId="8">
    <w:abstractNumId w:val="4"/>
  </w:num>
  <w:num w:numId="9">
    <w:abstractNumId w:val="6"/>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CE4336"/>
    <w:rsid w:val="000B3891"/>
    <w:rsid w:val="001442FF"/>
    <w:rsid w:val="00180650"/>
    <w:rsid w:val="00190CCF"/>
    <w:rsid w:val="0026425B"/>
    <w:rsid w:val="002F0D6E"/>
    <w:rsid w:val="002F54DE"/>
    <w:rsid w:val="00315E6E"/>
    <w:rsid w:val="003914F1"/>
    <w:rsid w:val="003A233E"/>
    <w:rsid w:val="004224FA"/>
    <w:rsid w:val="00424E68"/>
    <w:rsid w:val="004A181C"/>
    <w:rsid w:val="00565C0A"/>
    <w:rsid w:val="00594C02"/>
    <w:rsid w:val="005A0BC2"/>
    <w:rsid w:val="005A39AB"/>
    <w:rsid w:val="005A62E0"/>
    <w:rsid w:val="0061221D"/>
    <w:rsid w:val="00621EDD"/>
    <w:rsid w:val="00673DB6"/>
    <w:rsid w:val="006B7FCE"/>
    <w:rsid w:val="006E4E04"/>
    <w:rsid w:val="0073215F"/>
    <w:rsid w:val="007F2830"/>
    <w:rsid w:val="007F63CB"/>
    <w:rsid w:val="0086226E"/>
    <w:rsid w:val="00866D12"/>
    <w:rsid w:val="00870860"/>
    <w:rsid w:val="008D4BFE"/>
    <w:rsid w:val="008D572E"/>
    <w:rsid w:val="008E6F40"/>
    <w:rsid w:val="00906ED7"/>
    <w:rsid w:val="00966DC4"/>
    <w:rsid w:val="009B0300"/>
    <w:rsid w:val="009C46E4"/>
    <w:rsid w:val="00A0234C"/>
    <w:rsid w:val="00A2696E"/>
    <w:rsid w:val="00A339B2"/>
    <w:rsid w:val="00A5580F"/>
    <w:rsid w:val="00A90315"/>
    <w:rsid w:val="00A9163D"/>
    <w:rsid w:val="00AA25D5"/>
    <w:rsid w:val="00AB0838"/>
    <w:rsid w:val="00AB4F45"/>
    <w:rsid w:val="00B12CAD"/>
    <w:rsid w:val="00B47B91"/>
    <w:rsid w:val="00B77999"/>
    <w:rsid w:val="00BB1302"/>
    <w:rsid w:val="00BB70C5"/>
    <w:rsid w:val="00BC39E2"/>
    <w:rsid w:val="00CE4336"/>
    <w:rsid w:val="00CE7FD9"/>
    <w:rsid w:val="00D10907"/>
    <w:rsid w:val="00D67A98"/>
    <w:rsid w:val="00DB498A"/>
    <w:rsid w:val="00DC3029"/>
    <w:rsid w:val="00E47388"/>
    <w:rsid w:val="00EA1E21"/>
    <w:rsid w:val="00EB3120"/>
    <w:rsid w:val="00EE4FF2"/>
    <w:rsid w:val="00F336EB"/>
    <w:rsid w:val="00F4621C"/>
    <w:rsid w:val="00F757AB"/>
    <w:rsid w:val="00FD3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E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336"/>
    <w:rPr>
      <w:rFonts w:ascii="Lucida Grande" w:hAnsi="Lucida Grande" w:cs="Lucida Grande"/>
      <w:sz w:val="18"/>
      <w:szCs w:val="18"/>
      <w:lang w:val="en-GB"/>
    </w:rPr>
  </w:style>
  <w:style w:type="paragraph" w:styleId="Footer">
    <w:name w:val="footer"/>
    <w:basedOn w:val="Normal"/>
    <w:link w:val="FooterChar"/>
    <w:uiPriority w:val="99"/>
    <w:unhideWhenUsed/>
    <w:rsid w:val="006E4E04"/>
    <w:pPr>
      <w:tabs>
        <w:tab w:val="center" w:pos="4320"/>
        <w:tab w:val="right" w:pos="8640"/>
      </w:tabs>
    </w:pPr>
  </w:style>
  <w:style w:type="character" w:customStyle="1" w:styleId="FooterChar">
    <w:name w:val="Footer Char"/>
    <w:basedOn w:val="DefaultParagraphFont"/>
    <w:link w:val="Footer"/>
    <w:uiPriority w:val="99"/>
    <w:rsid w:val="006E4E04"/>
    <w:rPr>
      <w:lang w:val="en-GB"/>
    </w:rPr>
  </w:style>
  <w:style w:type="character" w:styleId="PageNumber">
    <w:name w:val="page number"/>
    <w:basedOn w:val="DefaultParagraphFont"/>
    <w:uiPriority w:val="99"/>
    <w:semiHidden/>
    <w:unhideWhenUsed/>
    <w:rsid w:val="006E4E04"/>
  </w:style>
  <w:style w:type="paragraph" w:styleId="ListParagraph">
    <w:name w:val="List Paragraph"/>
    <w:basedOn w:val="Normal"/>
    <w:uiPriority w:val="34"/>
    <w:qFormat/>
    <w:rsid w:val="00BB1302"/>
    <w:pPr>
      <w:ind w:left="720"/>
      <w:contextualSpacing/>
    </w:pPr>
    <w:rPr>
      <w:rFonts w:ascii="Cambria" w:eastAsia="MS Mincho" w:hAnsi="Cambria" w:cs="Times New Roman"/>
    </w:rPr>
  </w:style>
  <w:style w:type="table" w:styleId="TableGrid">
    <w:name w:val="Table Grid"/>
    <w:basedOn w:val="TableNormal"/>
    <w:uiPriority w:val="59"/>
    <w:rsid w:val="00BB1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1302"/>
    <w:pPr>
      <w:tabs>
        <w:tab w:val="center" w:pos="4320"/>
        <w:tab w:val="right" w:pos="8640"/>
      </w:tabs>
    </w:pPr>
  </w:style>
  <w:style w:type="character" w:customStyle="1" w:styleId="HeaderChar">
    <w:name w:val="Header Char"/>
    <w:basedOn w:val="DefaultParagraphFont"/>
    <w:link w:val="Header"/>
    <w:uiPriority w:val="99"/>
    <w:rsid w:val="00BB1302"/>
    <w:rPr>
      <w:lang w:val="en-GB"/>
    </w:rPr>
  </w:style>
  <w:style w:type="character" w:styleId="Hyperlink">
    <w:name w:val="Hyperlink"/>
    <w:basedOn w:val="DefaultParagraphFont"/>
    <w:uiPriority w:val="99"/>
    <w:unhideWhenUsed/>
    <w:rsid w:val="00D67A98"/>
    <w:rPr>
      <w:color w:val="0000FF" w:themeColor="hyperlink"/>
      <w:u w:val="single"/>
    </w:rPr>
  </w:style>
  <w:style w:type="paragraph" w:styleId="FootnoteText">
    <w:name w:val="footnote text"/>
    <w:basedOn w:val="Normal"/>
    <w:link w:val="FootnoteTextChar"/>
    <w:uiPriority w:val="99"/>
    <w:semiHidden/>
    <w:unhideWhenUsed/>
    <w:rsid w:val="006B7FCE"/>
  </w:style>
  <w:style w:type="character" w:customStyle="1" w:styleId="FootnoteTextChar">
    <w:name w:val="Footnote Text Char"/>
    <w:basedOn w:val="DefaultParagraphFont"/>
    <w:link w:val="FootnoteText"/>
    <w:uiPriority w:val="99"/>
    <w:semiHidden/>
    <w:rsid w:val="006B7FCE"/>
    <w:rPr>
      <w:lang w:val="en-GB"/>
    </w:rPr>
  </w:style>
  <w:style w:type="character" w:styleId="FootnoteReference">
    <w:name w:val="footnote reference"/>
    <w:aliases w:val="16 Point,Superscript 6 Point,ftref,(NECG) Footnote Reference,Ref,de nota al pie,Superscript 6 Point + 11 pt"/>
    <w:rsid w:val="006B7F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336"/>
    <w:rPr>
      <w:rFonts w:ascii="Lucida Grande" w:hAnsi="Lucida Grande" w:cs="Lucida Grande"/>
      <w:sz w:val="18"/>
      <w:szCs w:val="18"/>
      <w:lang w:val="en-GB"/>
    </w:rPr>
  </w:style>
  <w:style w:type="paragraph" w:styleId="Footer">
    <w:name w:val="footer"/>
    <w:basedOn w:val="Normal"/>
    <w:link w:val="FooterChar"/>
    <w:uiPriority w:val="99"/>
    <w:unhideWhenUsed/>
    <w:rsid w:val="006E4E04"/>
    <w:pPr>
      <w:tabs>
        <w:tab w:val="center" w:pos="4320"/>
        <w:tab w:val="right" w:pos="8640"/>
      </w:tabs>
    </w:pPr>
  </w:style>
  <w:style w:type="character" w:customStyle="1" w:styleId="FooterChar">
    <w:name w:val="Footer Char"/>
    <w:basedOn w:val="DefaultParagraphFont"/>
    <w:link w:val="Footer"/>
    <w:uiPriority w:val="99"/>
    <w:rsid w:val="006E4E04"/>
    <w:rPr>
      <w:lang w:val="en-GB"/>
    </w:rPr>
  </w:style>
  <w:style w:type="character" w:styleId="PageNumber">
    <w:name w:val="page number"/>
    <w:basedOn w:val="DefaultParagraphFont"/>
    <w:uiPriority w:val="99"/>
    <w:semiHidden/>
    <w:unhideWhenUsed/>
    <w:rsid w:val="006E4E04"/>
  </w:style>
  <w:style w:type="paragraph" w:styleId="ListParagraph">
    <w:name w:val="List Paragraph"/>
    <w:basedOn w:val="Normal"/>
    <w:uiPriority w:val="34"/>
    <w:qFormat/>
    <w:rsid w:val="00BB1302"/>
    <w:pPr>
      <w:ind w:left="720"/>
      <w:contextualSpacing/>
    </w:pPr>
    <w:rPr>
      <w:rFonts w:ascii="Cambria" w:eastAsia="MS Mincho" w:hAnsi="Cambria" w:cs="Times New Roman"/>
    </w:rPr>
  </w:style>
  <w:style w:type="table" w:styleId="TableGrid">
    <w:name w:val="Table Grid"/>
    <w:basedOn w:val="TableNormal"/>
    <w:uiPriority w:val="59"/>
    <w:rsid w:val="00BB1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1302"/>
    <w:pPr>
      <w:tabs>
        <w:tab w:val="center" w:pos="4320"/>
        <w:tab w:val="right" w:pos="8640"/>
      </w:tabs>
    </w:pPr>
  </w:style>
  <w:style w:type="character" w:customStyle="1" w:styleId="HeaderChar">
    <w:name w:val="Header Char"/>
    <w:basedOn w:val="DefaultParagraphFont"/>
    <w:link w:val="Header"/>
    <w:uiPriority w:val="99"/>
    <w:rsid w:val="00BB1302"/>
    <w:rPr>
      <w:lang w:val="en-GB"/>
    </w:rPr>
  </w:style>
  <w:style w:type="character" w:styleId="Hyperlink">
    <w:name w:val="Hyperlink"/>
    <w:basedOn w:val="DefaultParagraphFont"/>
    <w:uiPriority w:val="99"/>
    <w:unhideWhenUsed/>
    <w:rsid w:val="00D67A98"/>
    <w:rPr>
      <w:color w:val="0000FF" w:themeColor="hyperlink"/>
      <w:u w:val="single"/>
    </w:rPr>
  </w:style>
  <w:style w:type="paragraph" w:styleId="FootnoteText">
    <w:name w:val="footnote text"/>
    <w:basedOn w:val="Normal"/>
    <w:link w:val="FootnoteTextChar"/>
    <w:uiPriority w:val="99"/>
    <w:semiHidden/>
    <w:unhideWhenUsed/>
    <w:rsid w:val="006B7FCE"/>
  </w:style>
  <w:style w:type="character" w:customStyle="1" w:styleId="FootnoteTextChar">
    <w:name w:val="Footnote Text Char"/>
    <w:basedOn w:val="DefaultParagraphFont"/>
    <w:link w:val="FootnoteText"/>
    <w:uiPriority w:val="99"/>
    <w:semiHidden/>
    <w:rsid w:val="006B7FCE"/>
    <w:rPr>
      <w:lang w:val="en-GB"/>
    </w:rPr>
  </w:style>
  <w:style w:type="character" w:styleId="FootnoteReference">
    <w:name w:val="footnote reference"/>
    <w:aliases w:val="16 Point,Superscript 6 Point,ftref,(NECG) Footnote Reference,Ref,de nota al pie,Superscript 6 Point + 11 pt"/>
    <w:rsid w:val="006B7FCE"/>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DF43B-9DBA-4873-992C-A57C9DC5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Timmermans</dc:creator>
  <cp:lastModifiedBy>Laura Niskanen</cp:lastModifiedBy>
  <cp:revision>3</cp:revision>
  <dcterms:created xsi:type="dcterms:W3CDTF">2012-11-12T03:44:00Z</dcterms:created>
  <dcterms:modified xsi:type="dcterms:W3CDTF">2012-11-12T04:28:00Z</dcterms:modified>
</cp:coreProperties>
</file>