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7B8" w:rsidRPr="00EC161E" w:rsidRDefault="00B907B8" w:rsidP="00B907B8">
      <w:pPr>
        <w:rPr>
          <w:b/>
        </w:rPr>
      </w:pPr>
      <w:r w:rsidRPr="00EC161E">
        <w:rPr>
          <w:b/>
        </w:rPr>
        <w:t>Global Platform for Disaster Risk Reduction</w:t>
      </w:r>
      <w:r w:rsidR="00EC161E" w:rsidRPr="00EC161E">
        <w:rPr>
          <w:b/>
        </w:rPr>
        <w:t xml:space="preserve"> - </w:t>
      </w:r>
      <w:r w:rsidRPr="00EC161E">
        <w:rPr>
          <w:b/>
        </w:rPr>
        <w:t>May 2103</w:t>
      </w:r>
    </w:p>
    <w:p w:rsidR="00B907B8" w:rsidRPr="00EC161E" w:rsidRDefault="00B907B8" w:rsidP="00B907B8">
      <w:pPr>
        <w:rPr>
          <w:b/>
        </w:rPr>
      </w:pPr>
      <w:r w:rsidRPr="00EC161E">
        <w:rPr>
          <w:b/>
        </w:rPr>
        <w:t>Save the Children Statement</w:t>
      </w:r>
    </w:p>
    <w:p w:rsidR="00B907B8" w:rsidRDefault="00B907B8" w:rsidP="00B907B8">
      <w:r>
        <w:t>Madam Chair, esteemed delegates,</w:t>
      </w:r>
    </w:p>
    <w:p w:rsidR="00365795" w:rsidRDefault="00B907B8" w:rsidP="00B907B8">
      <w:r>
        <w:t xml:space="preserve">Save the Children prioritizes Disaster Risk Reduction </w:t>
      </w:r>
      <w:r w:rsidR="00EE593D">
        <w:t>i</w:t>
      </w:r>
      <w:r>
        <w:t xml:space="preserve">n our development and </w:t>
      </w:r>
      <w:r w:rsidR="006A3E50">
        <w:t xml:space="preserve">in </w:t>
      </w:r>
      <w:r>
        <w:t xml:space="preserve">our humanitarian work.  </w:t>
      </w:r>
      <w:r w:rsidR="00FE3710">
        <w:t>Across the world, w</w:t>
      </w:r>
      <w:r w:rsidR="006A3E50">
        <w:t xml:space="preserve">e invest nearly 1.5 billion dollars a year </w:t>
      </w:r>
      <w:r w:rsidR="00EE593D">
        <w:t>working in 120 countries, protecting and supporting children and their communities.  W</w:t>
      </w:r>
      <w:r w:rsidR="00F34EB6">
        <w:t xml:space="preserve">e know that </w:t>
      </w:r>
      <w:r w:rsidR="00EE593D">
        <w:t xml:space="preserve">more needs to be </w:t>
      </w:r>
      <w:r w:rsidR="00FE3710">
        <w:t>invest</w:t>
      </w:r>
      <w:r w:rsidR="00EB6471">
        <w:t>ed</w:t>
      </w:r>
      <w:r w:rsidR="00FE3710">
        <w:t xml:space="preserve"> in </w:t>
      </w:r>
      <w:r w:rsidR="00F34EB6">
        <w:t>reducing risks</w:t>
      </w:r>
      <w:r w:rsidR="00EE593D">
        <w:t xml:space="preserve"> and building resilience</w:t>
      </w:r>
      <w:r w:rsidR="00FE3710">
        <w:t xml:space="preserve">.  </w:t>
      </w:r>
      <w:r w:rsidR="006A3E50">
        <w:t xml:space="preserve"> </w:t>
      </w:r>
      <w:r w:rsidR="00F34EB6">
        <w:t xml:space="preserve">Thus we applaud the example provided by UNISDR in recognising that children have unique needs and </w:t>
      </w:r>
      <w:r w:rsidR="00F34EB6">
        <w:rPr>
          <w:b/>
        </w:rPr>
        <w:t>w</w:t>
      </w:r>
      <w:r w:rsidR="00F34EB6" w:rsidRPr="006A3E50">
        <w:rPr>
          <w:b/>
        </w:rPr>
        <w:t xml:space="preserve">e strongly recommend that governments everywhere should follow UNISDR’s lead by prioritising risk </w:t>
      </w:r>
      <w:r w:rsidR="00F34EB6">
        <w:rPr>
          <w:b/>
        </w:rPr>
        <w:t>management</w:t>
      </w:r>
      <w:r w:rsidR="00F34EB6" w:rsidRPr="006A3E50">
        <w:rPr>
          <w:b/>
        </w:rPr>
        <w:t xml:space="preserve"> </w:t>
      </w:r>
      <w:r w:rsidR="00F34EB6">
        <w:rPr>
          <w:b/>
        </w:rPr>
        <w:t>strategies that focus</w:t>
      </w:r>
      <w:r w:rsidR="00F34EB6" w:rsidRPr="006A3E50">
        <w:rPr>
          <w:b/>
        </w:rPr>
        <w:t xml:space="preserve"> on the specific risks faced by children.</w:t>
      </w:r>
      <w:r w:rsidR="00F34EB6" w:rsidRPr="00365795">
        <w:t xml:space="preserve"> </w:t>
      </w:r>
    </w:p>
    <w:p w:rsidR="00365795" w:rsidRPr="00B410F0" w:rsidRDefault="00365795" w:rsidP="00365795">
      <w:pPr>
        <w:rPr>
          <w:b/>
        </w:rPr>
      </w:pPr>
      <w:r>
        <w:t xml:space="preserve">Save the Children’s work follows the principles embodied in the Convention on the Rights of the Child.  </w:t>
      </w:r>
      <w:r w:rsidR="006A3E50">
        <w:t>Governments are signatories to this important convention too. This means that c</w:t>
      </w:r>
      <w:r>
        <w:t xml:space="preserve">hildren’s rights to survival, </w:t>
      </w:r>
      <w:r w:rsidR="00F34EB6">
        <w:t xml:space="preserve">to </w:t>
      </w:r>
      <w:r>
        <w:t xml:space="preserve">protection and </w:t>
      </w:r>
      <w:r w:rsidR="00F34EB6">
        <w:t xml:space="preserve">to </w:t>
      </w:r>
      <w:r>
        <w:t xml:space="preserve">development </w:t>
      </w:r>
      <w:r w:rsidR="00F34EB6">
        <w:t>should be</w:t>
      </w:r>
      <w:r>
        <w:t xml:space="preserve"> non-negotiable.</w:t>
      </w:r>
      <w:r w:rsidR="00F34EB6">
        <w:t xml:space="preserve">  The Convention is also clear in stating that children have a right to participate in decisions that affect them now and in the future.  During this Global Platform and in </w:t>
      </w:r>
      <w:r w:rsidR="000513CB">
        <w:t xml:space="preserve">all </w:t>
      </w:r>
      <w:r w:rsidR="00F34EB6">
        <w:t xml:space="preserve">the previous Global Platforms Save the Children has worked with the other child-centred agencies to help children from across the world to </w:t>
      </w:r>
      <w:r w:rsidR="000513CB">
        <w:t>participate and express their views about the future.   Their voice is just as relevant here on this global stage as it is where they live.</w:t>
      </w:r>
      <w:r w:rsidR="00B410F0" w:rsidRPr="00B410F0">
        <w:t xml:space="preserve"> </w:t>
      </w:r>
      <w:r w:rsidR="00B410F0">
        <w:t xml:space="preserve">Therefore we believe that </w:t>
      </w:r>
      <w:r w:rsidR="00B410F0" w:rsidRPr="00B410F0">
        <w:t>children and youth must be involved in actions and priority setting for and within the World Conference on DRR in 2015 and HFA2 decision making processes.</w:t>
      </w:r>
      <w:r w:rsidR="00B20E90">
        <w:rPr>
          <w:b/>
        </w:rPr>
        <w:t xml:space="preserve"> Save T</w:t>
      </w:r>
      <w:r w:rsidR="00B410F0">
        <w:rPr>
          <w:b/>
        </w:rPr>
        <w:t xml:space="preserve">he Children is committed to helping governments and international community secure a safer and more equitable future, for this generation and the next.  </w:t>
      </w:r>
    </w:p>
    <w:p w:rsidR="00B410F0" w:rsidRDefault="008C6049" w:rsidP="00B20E90">
      <w:pPr>
        <w:spacing w:after="60" w:line="240" w:lineRule="auto"/>
        <w:rPr>
          <w:rFonts w:cs="Candara"/>
          <w:color w:val="000000"/>
          <w:lang w:val="en-US" w:eastAsia="ja-JP"/>
        </w:rPr>
      </w:pPr>
      <w:r w:rsidRPr="00B20E90">
        <w:rPr>
          <w:rFonts w:cs="Candara"/>
          <w:color w:val="000000"/>
          <w:lang w:val="en-US" w:eastAsia="ja-JP"/>
        </w:rPr>
        <w:t>Save the Children listens to children.   They are very clear about their understanding of risk and they do not adopt a silo approach. Risk reduction means tackling all risks, not just risks associated with natural hazards.   Poverty is a risk.  The t</w:t>
      </w:r>
      <w:r w:rsidR="00B20E90">
        <w:rPr>
          <w:rFonts w:cs="Candara"/>
          <w:color w:val="000000"/>
          <w:lang w:val="en-US" w:eastAsia="ja-JP"/>
        </w:rPr>
        <w:t>h</w:t>
      </w:r>
      <w:r w:rsidRPr="00B20E90">
        <w:rPr>
          <w:rFonts w:cs="Candara"/>
          <w:color w:val="000000"/>
          <w:lang w:val="en-US" w:eastAsia="ja-JP"/>
        </w:rPr>
        <w:t>reat of sexual violence in a conflict is a risk.  Having to work to survive instead of going to school is a risk</w:t>
      </w:r>
      <w:r w:rsidR="00B20E90">
        <w:rPr>
          <w:rFonts w:cs="Candara"/>
          <w:color w:val="000000"/>
          <w:lang w:val="en-US" w:eastAsia="ja-JP"/>
        </w:rPr>
        <w:t xml:space="preserve">. All these risks </w:t>
      </w:r>
      <w:r w:rsidRPr="00B20E90">
        <w:rPr>
          <w:rFonts w:cs="Candara"/>
          <w:color w:val="000000"/>
          <w:lang w:val="en-US" w:eastAsia="ja-JP"/>
        </w:rPr>
        <w:t>threaten their future.  Though we all know that some hazards have their roots in nature, risks are man-made and disasters are never natural.</w:t>
      </w:r>
      <w:r>
        <w:rPr>
          <w:rFonts w:cs="Candara"/>
          <w:b/>
          <w:color w:val="000000"/>
          <w:lang w:val="en-US" w:eastAsia="ja-JP"/>
        </w:rPr>
        <w:t xml:space="preserve"> </w:t>
      </w:r>
      <w:r w:rsidRPr="00B20E90">
        <w:rPr>
          <w:rFonts w:cs="Candara"/>
          <w:b/>
          <w:color w:val="000000"/>
          <w:lang w:val="en-US" w:eastAsia="ja-JP"/>
        </w:rPr>
        <w:t xml:space="preserve">Thus, </w:t>
      </w:r>
      <w:r w:rsidR="00B20E90" w:rsidRPr="00B20E90">
        <w:rPr>
          <w:rFonts w:cs="Candara"/>
          <w:b/>
          <w:color w:val="000000"/>
          <w:lang w:val="en-US" w:eastAsia="ja-JP"/>
        </w:rPr>
        <w:t xml:space="preserve">Save </w:t>
      </w:r>
      <w:proofErr w:type="gramStart"/>
      <w:r w:rsidR="00B20E90" w:rsidRPr="00B20E90">
        <w:rPr>
          <w:rFonts w:cs="Candara"/>
          <w:b/>
          <w:color w:val="000000"/>
          <w:lang w:val="en-US" w:eastAsia="ja-JP"/>
        </w:rPr>
        <w:t>T</w:t>
      </w:r>
      <w:r w:rsidRPr="00B20E90">
        <w:rPr>
          <w:rFonts w:cs="Candara"/>
          <w:b/>
          <w:color w:val="000000"/>
          <w:lang w:val="en-US" w:eastAsia="ja-JP"/>
        </w:rPr>
        <w:t>he</w:t>
      </w:r>
      <w:proofErr w:type="gramEnd"/>
      <w:r w:rsidRPr="00B20E90">
        <w:rPr>
          <w:rFonts w:cs="Candara"/>
          <w:b/>
          <w:color w:val="000000"/>
          <w:lang w:val="en-US" w:eastAsia="ja-JP"/>
        </w:rPr>
        <w:t xml:space="preserve"> Children </w:t>
      </w:r>
      <w:r w:rsidR="00B410F0" w:rsidRPr="00B20E90">
        <w:rPr>
          <w:rFonts w:cs="Candara"/>
          <w:b/>
          <w:color w:val="000000"/>
          <w:lang w:val="en-US" w:eastAsia="ja-JP"/>
        </w:rPr>
        <w:t>call</w:t>
      </w:r>
      <w:r w:rsidRPr="00B20E90">
        <w:rPr>
          <w:rFonts w:cs="Candara"/>
          <w:b/>
          <w:color w:val="000000"/>
          <w:lang w:val="en-US" w:eastAsia="ja-JP"/>
        </w:rPr>
        <w:t>s</w:t>
      </w:r>
      <w:r w:rsidR="00B410F0" w:rsidRPr="00B20E90">
        <w:rPr>
          <w:rFonts w:cs="Candara"/>
          <w:b/>
          <w:color w:val="000000"/>
          <w:lang w:val="en-US" w:eastAsia="ja-JP"/>
        </w:rPr>
        <w:t xml:space="preserve"> on governments and the international community to ensure that HFA 2 is </w:t>
      </w:r>
      <w:r w:rsidR="00B20E90" w:rsidRPr="00B20E90">
        <w:rPr>
          <w:rFonts w:cs="Candara"/>
          <w:b/>
          <w:color w:val="000000"/>
          <w:lang w:val="en-US" w:eastAsia="ja-JP"/>
        </w:rPr>
        <w:t xml:space="preserve">directly related and is </w:t>
      </w:r>
      <w:r w:rsidR="00B410F0" w:rsidRPr="00B20E90">
        <w:rPr>
          <w:rFonts w:cs="Candara"/>
          <w:b/>
          <w:color w:val="000000"/>
          <w:lang w:val="en-US" w:eastAsia="ja-JP"/>
        </w:rPr>
        <w:t xml:space="preserve">reinforced by </w:t>
      </w:r>
      <w:r w:rsidR="00B20E90" w:rsidRPr="00B20E90">
        <w:rPr>
          <w:rFonts w:cs="Candara"/>
          <w:b/>
          <w:color w:val="000000"/>
          <w:lang w:val="en-US" w:eastAsia="ja-JP"/>
        </w:rPr>
        <w:t xml:space="preserve">other </w:t>
      </w:r>
      <w:r w:rsidR="00B410F0" w:rsidRPr="00B20E90">
        <w:rPr>
          <w:rFonts w:cs="Candara"/>
          <w:b/>
          <w:color w:val="000000"/>
          <w:lang w:val="en-US" w:eastAsia="ja-JP"/>
        </w:rPr>
        <w:t>post-2015 agreements</w:t>
      </w:r>
      <w:r w:rsidR="00B20E90" w:rsidRPr="00B20E90">
        <w:rPr>
          <w:rFonts w:cs="Candara"/>
          <w:b/>
          <w:color w:val="000000"/>
          <w:lang w:val="en-US" w:eastAsia="ja-JP"/>
        </w:rPr>
        <w:t>,</w:t>
      </w:r>
      <w:r w:rsidR="00B410F0" w:rsidRPr="00B20E90">
        <w:rPr>
          <w:rFonts w:cs="Candara"/>
          <w:b/>
          <w:color w:val="000000"/>
          <w:lang w:val="en-US" w:eastAsia="ja-JP"/>
        </w:rPr>
        <w:t xml:space="preserve"> especially </w:t>
      </w:r>
      <w:r w:rsidR="00B20E90" w:rsidRPr="00B20E90">
        <w:rPr>
          <w:rFonts w:cs="Candara"/>
          <w:b/>
          <w:color w:val="000000"/>
          <w:lang w:val="en-US" w:eastAsia="ja-JP"/>
        </w:rPr>
        <w:t xml:space="preserve">the </w:t>
      </w:r>
      <w:r w:rsidR="00B410F0" w:rsidRPr="00B20E90">
        <w:rPr>
          <w:rFonts w:cs="Candara"/>
          <w:b/>
          <w:color w:val="000000"/>
          <w:lang w:val="en-US" w:eastAsia="ja-JP"/>
        </w:rPr>
        <w:t xml:space="preserve">MDGs and </w:t>
      </w:r>
      <w:r w:rsidR="00B20E90" w:rsidRPr="00B20E90">
        <w:rPr>
          <w:rFonts w:cs="Candara"/>
          <w:b/>
          <w:color w:val="000000"/>
          <w:lang w:val="en-US" w:eastAsia="ja-JP"/>
        </w:rPr>
        <w:t xml:space="preserve">the </w:t>
      </w:r>
      <w:r w:rsidR="00B410F0" w:rsidRPr="00B20E90">
        <w:rPr>
          <w:rFonts w:cs="Candara"/>
          <w:b/>
          <w:color w:val="000000"/>
          <w:lang w:val="en-US" w:eastAsia="ja-JP"/>
        </w:rPr>
        <w:t>S</w:t>
      </w:r>
      <w:r w:rsidR="00B20E90" w:rsidRPr="00B20E90">
        <w:rPr>
          <w:rFonts w:cs="Candara"/>
          <w:b/>
          <w:color w:val="000000"/>
          <w:lang w:val="en-US" w:eastAsia="ja-JP"/>
        </w:rPr>
        <w:t xml:space="preserve">ustainable </w:t>
      </w:r>
      <w:r w:rsidR="00B410F0" w:rsidRPr="00B20E90">
        <w:rPr>
          <w:rFonts w:cs="Candara"/>
          <w:b/>
          <w:color w:val="000000"/>
          <w:lang w:val="en-US" w:eastAsia="ja-JP"/>
        </w:rPr>
        <w:t>D</w:t>
      </w:r>
      <w:r w:rsidR="00B20E90" w:rsidRPr="00B20E90">
        <w:rPr>
          <w:rFonts w:cs="Candara"/>
          <w:b/>
          <w:color w:val="000000"/>
          <w:lang w:val="en-US" w:eastAsia="ja-JP"/>
        </w:rPr>
        <w:t xml:space="preserve">evelopment </w:t>
      </w:r>
      <w:r w:rsidR="00B410F0" w:rsidRPr="00B20E90">
        <w:rPr>
          <w:rFonts w:cs="Candara"/>
          <w:b/>
          <w:color w:val="000000"/>
          <w:lang w:val="en-US" w:eastAsia="ja-JP"/>
        </w:rPr>
        <w:t>G</w:t>
      </w:r>
      <w:r w:rsidR="00B20E90" w:rsidRPr="00B20E90">
        <w:rPr>
          <w:rFonts w:cs="Candara"/>
          <w:b/>
          <w:color w:val="000000"/>
          <w:lang w:val="en-US" w:eastAsia="ja-JP"/>
        </w:rPr>
        <w:t>oals</w:t>
      </w:r>
      <w:r w:rsidR="00B410F0" w:rsidRPr="00B20E90">
        <w:rPr>
          <w:rFonts w:cs="Candara"/>
          <w:b/>
          <w:color w:val="000000"/>
          <w:lang w:val="en-US" w:eastAsia="ja-JP"/>
        </w:rPr>
        <w:t>.</w:t>
      </w:r>
      <w:r w:rsidRPr="00B20E90">
        <w:rPr>
          <w:rFonts w:cs="Candara"/>
          <w:b/>
          <w:color w:val="000000"/>
          <w:lang w:val="en-US" w:eastAsia="ja-JP"/>
        </w:rPr>
        <w:t xml:space="preserve">  </w:t>
      </w:r>
      <w:r w:rsidR="00B20E90" w:rsidRPr="003A0676">
        <w:rPr>
          <w:rFonts w:cs="Candara"/>
          <w:color w:val="000000"/>
          <w:lang w:val="en-US" w:eastAsia="ja-JP"/>
        </w:rPr>
        <w:t>This means that r</w:t>
      </w:r>
      <w:r w:rsidR="00B410F0">
        <w:rPr>
          <w:rFonts w:cs="Candara"/>
          <w:color w:val="000000"/>
          <w:lang w:val="en-US" w:eastAsia="ja-JP"/>
        </w:rPr>
        <w:t xml:space="preserve">educing the risk of technological disasters such as the Fukushima nuclear plant crisis </w:t>
      </w:r>
      <w:r w:rsidR="003A0676">
        <w:rPr>
          <w:rFonts w:cs="Candara"/>
          <w:color w:val="000000"/>
          <w:lang w:val="en-US" w:eastAsia="ja-JP"/>
        </w:rPr>
        <w:t xml:space="preserve">should </w:t>
      </w:r>
      <w:r w:rsidR="00B410F0">
        <w:rPr>
          <w:rFonts w:cs="Candara"/>
          <w:color w:val="000000"/>
          <w:lang w:val="en-US" w:eastAsia="ja-JP"/>
        </w:rPr>
        <w:t>be included in the HFA 2 agenda.</w:t>
      </w:r>
      <w:r w:rsidR="00B20E90">
        <w:rPr>
          <w:rFonts w:cs="Candara"/>
          <w:color w:val="000000"/>
          <w:lang w:val="en-US" w:eastAsia="ja-JP"/>
        </w:rPr>
        <w:t xml:space="preserve">  It also means that r</w:t>
      </w:r>
      <w:r w:rsidR="00B410F0" w:rsidRPr="00FD22DA">
        <w:rPr>
          <w:rFonts w:cs="Candara"/>
          <w:color w:val="000000"/>
          <w:lang w:val="en-US" w:eastAsia="ja-JP"/>
        </w:rPr>
        <w:t xml:space="preserve">isk reduction in violent conflict settings </w:t>
      </w:r>
      <w:r w:rsidR="00B20E90">
        <w:rPr>
          <w:rFonts w:cs="Candara"/>
          <w:color w:val="000000"/>
          <w:lang w:val="en-US" w:eastAsia="ja-JP"/>
        </w:rPr>
        <w:t xml:space="preserve">should </w:t>
      </w:r>
      <w:r w:rsidR="00EB6471">
        <w:rPr>
          <w:rFonts w:cs="Candara"/>
          <w:color w:val="000000"/>
          <w:lang w:val="en-US" w:eastAsia="ja-JP"/>
        </w:rPr>
        <w:t>not be ignored</w:t>
      </w:r>
      <w:r w:rsidR="00B410F0" w:rsidRPr="00FD22DA">
        <w:rPr>
          <w:rFonts w:cs="Candara"/>
          <w:color w:val="000000"/>
          <w:lang w:val="en-US" w:eastAsia="ja-JP"/>
        </w:rPr>
        <w:t xml:space="preserve"> in the HFA 2 agenda. </w:t>
      </w:r>
    </w:p>
    <w:p w:rsidR="00B410F0" w:rsidRPr="00B20E90" w:rsidRDefault="00B410F0" w:rsidP="00B20E90">
      <w:pPr>
        <w:spacing w:after="60"/>
        <w:rPr>
          <w:rFonts w:cs="Candara"/>
          <w:b/>
          <w:color w:val="000000"/>
          <w:sz w:val="16"/>
          <w:szCs w:val="16"/>
          <w:lang w:val="en-US" w:eastAsia="ja-JP"/>
        </w:rPr>
      </w:pPr>
    </w:p>
    <w:p w:rsidR="00E42077" w:rsidRDefault="00E91295" w:rsidP="00E42077">
      <w:pPr>
        <w:spacing w:after="60" w:line="240" w:lineRule="auto"/>
        <w:rPr>
          <w:rFonts w:cs="Candara"/>
          <w:color w:val="000000"/>
          <w:lang w:val="en-US" w:eastAsia="ja-JP"/>
        </w:rPr>
      </w:pPr>
      <w:r>
        <w:rPr>
          <w:rFonts w:cs="Candara"/>
          <w:b/>
          <w:color w:val="000000"/>
          <w:lang w:val="en-US" w:eastAsia="ja-JP"/>
        </w:rPr>
        <w:t xml:space="preserve">Reducing risk is everyone’s responsibility.   </w:t>
      </w:r>
      <w:r w:rsidRPr="00E91295">
        <w:rPr>
          <w:rFonts w:cs="Candara"/>
          <w:b/>
          <w:color w:val="000000"/>
          <w:lang w:val="en-US" w:eastAsia="ja-JP"/>
        </w:rPr>
        <w:t>Save The Children</w:t>
      </w:r>
      <w:r>
        <w:rPr>
          <w:rFonts w:cs="Candara"/>
          <w:b/>
          <w:color w:val="000000"/>
          <w:lang w:val="en-US" w:eastAsia="ja-JP"/>
        </w:rPr>
        <w:t xml:space="preserve"> is pleased to be working with all ‘stakeholders’ in this endeavor, especially with governments</w:t>
      </w:r>
      <w:r w:rsidR="00B03D5E">
        <w:rPr>
          <w:rFonts w:cs="Candara"/>
          <w:b/>
          <w:color w:val="000000"/>
          <w:lang w:val="en-US" w:eastAsia="ja-JP"/>
        </w:rPr>
        <w:t xml:space="preserve">.  </w:t>
      </w:r>
      <w:r w:rsidR="00B03D5E" w:rsidRPr="00B03D5E">
        <w:rPr>
          <w:rFonts w:cs="Candara"/>
          <w:color w:val="000000"/>
          <w:lang w:val="en-US" w:eastAsia="ja-JP"/>
        </w:rPr>
        <w:t>We see it clearly as part of our role to be working with and supporting governments at all levels from local to national. A</w:t>
      </w:r>
      <w:r w:rsidRPr="00B03D5E">
        <w:rPr>
          <w:rFonts w:cs="Candara"/>
          <w:color w:val="000000"/>
          <w:lang w:val="en-US" w:eastAsia="ja-JP"/>
        </w:rPr>
        <w:t xml:space="preserve">nd </w:t>
      </w:r>
      <w:r w:rsidR="00B03D5E" w:rsidRPr="00B03D5E">
        <w:rPr>
          <w:rFonts w:cs="Candara"/>
          <w:color w:val="000000"/>
          <w:lang w:val="en-US" w:eastAsia="ja-JP"/>
        </w:rPr>
        <w:t xml:space="preserve">we work </w:t>
      </w:r>
      <w:r w:rsidRPr="00B03D5E">
        <w:rPr>
          <w:rFonts w:cs="Candara"/>
          <w:color w:val="000000"/>
          <w:lang w:val="en-US" w:eastAsia="ja-JP"/>
        </w:rPr>
        <w:t xml:space="preserve">with the private sector.  Development and humanitarian aid is a tiny proportion of global economic activity.  Together, civil society, governments and businesses working together can transform </w:t>
      </w:r>
      <w:r w:rsidR="00E42077" w:rsidRPr="00B03D5E">
        <w:rPr>
          <w:rFonts w:cs="Candara"/>
          <w:color w:val="000000"/>
          <w:lang w:val="en-US" w:eastAsia="ja-JP"/>
        </w:rPr>
        <w:t>a risky world into a safe and resilient world where everyone prospers.  This won’t be easy, it will take time and it certainly does not mean business as usual.  We</w:t>
      </w:r>
      <w:r w:rsidR="00E42077">
        <w:rPr>
          <w:rFonts w:cs="Candara"/>
          <w:b/>
          <w:color w:val="000000"/>
          <w:lang w:val="en-US" w:eastAsia="ja-JP"/>
        </w:rPr>
        <w:t xml:space="preserve"> </w:t>
      </w:r>
      <w:r w:rsidR="00B410F0">
        <w:rPr>
          <w:rFonts w:cs="Candara"/>
          <w:color w:val="000000"/>
          <w:lang w:val="en-US" w:eastAsia="ja-JP"/>
        </w:rPr>
        <w:t xml:space="preserve">need to invest in </w:t>
      </w:r>
      <w:r w:rsidR="00B410F0" w:rsidRPr="00FD22DA">
        <w:rPr>
          <w:rFonts w:cs="Candara"/>
          <w:color w:val="000000"/>
          <w:lang w:val="en-US" w:eastAsia="ja-JP"/>
        </w:rPr>
        <w:t xml:space="preserve">anticipatory activities </w:t>
      </w:r>
      <w:r w:rsidR="00B410F0">
        <w:rPr>
          <w:rFonts w:cs="Candara"/>
          <w:color w:val="000000"/>
          <w:lang w:val="en-US" w:eastAsia="ja-JP"/>
        </w:rPr>
        <w:t xml:space="preserve">and </w:t>
      </w:r>
      <w:r w:rsidR="00E42077">
        <w:rPr>
          <w:rFonts w:cs="Candara"/>
          <w:color w:val="000000"/>
          <w:lang w:val="en-US" w:eastAsia="ja-JP"/>
        </w:rPr>
        <w:t xml:space="preserve">we need to </w:t>
      </w:r>
      <w:r w:rsidR="00B410F0">
        <w:rPr>
          <w:rFonts w:cs="Candara"/>
          <w:color w:val="000000"/>
          <w:lang w:val="en-US" w:eastAsia="ja-JP"/>
        </w:rPr>
        <w:t xml:space="preserve">act early </w:t>
      </w:r>
      <w:r w:rsidR="00B410F0" w:rsidRPr="00FD22DA">
        <w:rPr>
          <w:rFonts w:cs="Candara"/>
          <w:color w:val="000000"/>
          <w:lang w:val="en-US" w:eastAsia="ja-JP"/>
        </w:rPr>
        <w:t xml:space="preserve">to reduce the vulnerabilities </w:t>
      </w:r>
      <w:r w:rsidR="00B410F0">
        <w:rPr>
          <w:rFonts w:cs="Candara"/>
          <w:color w:val="000000"/>
          <w:lang w:val="en-US" w:eastAsia="ja-JP"/>
        </w:rPr>
        <w:t xml:space="preserve">of those </w:t>
      </w:r>
      <w:r w:rsidR="00B410F0" w:rsidRPr="00FD22DA">
        <w:rPr>
          <w:rFonts w:cs="Candara"/>
          <w:color w:val="000000"/>
          <w:lang w:val="en-US" w:eastAsia="ja-JP"/>
        </w:rPr>
        <w:t>most at risk</w:t>
      </w:r>
      <w:r w:rsidR="00B410F0">
        <w:rPr>
          <w:rFonts w:cs="Candara"/>
          <w:color w:val="000000"/>
          <w:lang w:val="en-US" w:eastAsia="ja-JP"/>
        </w:rPr>
        <w:t xml:space="preserve"> to minimize the likelihood of disaster</w:t>
      </w:r>
      <w:r w:rsidR="00B410F0" w:rsidRPr="00FD22DA">
        <w:rPr>
          <w:rFonts w:cs="Candara"/>
          <w:color w:val="000000"/>
          <w:lang w:val="en-US" w:eastAsia="ja-JP"/>
        </w:rPr>
        <w:t>.</w:t>
      </w:r>
      <w:r w:rsidR="00E42077">
        <w:rPr>
          <w:rFonts w:cs="Candara"/>
          <w:color w:val="000000"/>
          <w:lang w:val="en-US" w:eastAsia="ja-JP"/>
        </w:rPr>
        <w:t xml:space="preserve">  It means that there </w:t>
      </w:r>
      <w:r w:rsidR="00B410F0">
        <w:rPr>
          <w:rFonts w:cs="Candara"/>
          <w:color w:val="000000"/>
          <w:lang w:val="en-US" w:eastAsia="ja-JP"/>
        </w:rPr>
        <w:t>must be a shift from response to risk management</w:t>
      </w:r>
      <w:r w:rsidR="00E42077">
        <w:rPr>
          <w:rFonts w:cs="Candara"/>
          <w:color w:val="000000"/>
          <w:lang w:val="en-US" w:eastAsia="ja-JP"/>
        </w:rPr>
        <w:t xml:space="preserve"> so we </w:t>
      </w:r>
      <w:r w:rsidR="00B03D5E">
        <w:rPr>
          <w:rFonts w:cs="Candara"/>
          <w:color w:val="000000"/>
          <w:lang w:val="en-US" w:eastAsia="ja-JP"/>
        </w:rPr>
        <w:t xml:space="preserve">are </w:t>
      </w:r>
      <w:r w:rsidR="00B410F0">
        <w:rPr>
          <w:rFonts w:cs="Candara"/>
          <w:color w:val="000000"/>
          <w:lang w:val="en-US" w:eastAsia="ja-JP"/>
        </w:rPr>
        <w:t>risk proofing development</w:t>
      </w:r>
      <w:r w:rsidR="00E42077">
        <w:rPr>
          <w:rFonts w:cs="Candara"/>
          <w:color w:val="000000"/>
          <w:lang w:val="en-US" w:eastAsia="ja-JP"/>
        </w:rPr>
        <w:t>.  The foundation for building a resilient future begins with p</w:t>
      </w:r>
      <w:r w:rsidR="00B410F0">
        <w:rPr>
          <w:rFonts w:cs="Candara"/>
          <w:color w:val="000000"/>
          <w:lang w:val="en-US" w:eastAsia="ja-JP"/>
        </w:rPr>
        <w:t>rioritiz</w:t>
      </w:r>
      <w:r w:rsidR="00E42077">
        <w:rPr>
          <w:rFonts w:cs="Candara"/>
          <w:color w:val="000000"/>
          <w:lang w:val="en-US" w:eastAsia="ja-JP"/>
        </w:rPr>
        <w:t>ing</w:t>
      </w:r>
      <w:r w:rsidR="00B410F0">
        <w:rPr>
          <w:rFonts w:cs="Candara"/>
          <w:color w:val="000000"/>
          <w:lang w:val="en-US" w:eastAsia="ja-JP"/>
        </w:rPr>
        <w:t xml:space="preserve"> </w:t>
      </w:r>
      <w:r w:rsidR="00E42077">
        <w:rPr>
          <w:rFonts w:cs="Candara"/>
          <w:color w:val="000000"/>
          <w:lang w:val="en-US" w:eastAsia="ja-JP"/>
        </w:rPr>
        <w:t xml:space="preserve">forward looking </w:t>
      </w:r>
      <w:r w:rsidR="00B410F0">
        <w:rPr>
          <w:rFonts w:cs="Candara"/>
          <w:color w:val="000000"/>
          <w:lang w:val="en-US" w:eastAsia="ja-JP"/>
        </w:rPr>
        <w:t>multi-</w:t>
      </w:r>
      <w:proofErr w:type="spellStart"/>
      <w:r w:rsidR="00B410F0">
        <w:rPr>
          <w:rFonts w:cs="Candara"/>
          <w:color w:val="000000"/>
          <w:lang w:val="en-US" w:eastAsia="ja-JP"/>
        </w:rPr>
        <w:t>sectoral</w:t>
      </w:r>
      <w:proofErr w:type="spellEnd"/>
      <w:r w:rsidR="00E42077">
        <w:rPr>
          <w:rFonts w:cs="Candara"/>
          <w:color w:val="000000"/>
          <w:lang w:val="en-US" w:eastAsia="ja-JP"/>
        </w:rPr>
        <w:t xml:space="preserve"> – not </w:t>
      </w:r>
      <w:proofErr w:type="spellStart"/>
      <w:r w:rsidR="00E42077">
        <w:rPr>
          <w:rFonts w:cs="Candara"/>
          <w:color w:val="000000"/>
          <w:lang w:val="en-US" w:eastAsia="ja-JP"/>
        </w:rPr>
        <w:t>siloed</w:t>
      </w:r>
      <w:proofErr w:type="spellEnd"/>
      <w:r w:rsidR="00E42077">
        <w:rPr>
          <w:rFonts w:cs="Candara"/>
          <w:color w:val="000000"/>
          <w:lang w:val="en-US" w:eastAsia="ja-JP"/>
        </w:rPr>
        <w:t xml:space="preserve"> </w:t>
      </w:r>
      <w:r w:rsidR="00B410F0">
        <w:rPr>
          <w:rFonts w:cs="Candara"/>
          <w:color w:val="000000"/>
          <w:lang w:val="en-US" w:eastAsia="ja-JP"/>
        </w:rPr>
        <w:t>risk analysis.</w:t>
      </w:r>
    </w:p>
    <w:p w:rsidR="00E42077" w:rsidRDefault="00E42077" w:rsidP="00E42077">
      <w:pPr>
        <w:spacing w:after="60" w:line="240" w:lineRule="auto"/>
        <w:rPr>
          <w:rFonts w:cs="Candara"/>
          <w:color w:val="000000"/>
          <w:lang w:val="en-US" w:eastAsia="ja-JP"/>
        </w:rPr>
      </w:pPr>
    </w:p>
    <w:p w:rsidR="00EC161E" w:rsidRDefault="00E42077" w:rsidP="00EC161E">
      <w:pPr>
        <w:spacing w:after="60" w:line="240" w:lineRule="auto"/>
        <w:rPr>
          <w:rFonts w:cs="Candara"/>
          <w:color w:val="000000"/>
          <w:lang w:eastAsia="ja-JP"/>
        </w:rPr>
      </w:pPr>
      <w:r w:rsidRPr="00EC161E">
        <w:rPr>
          <w:rFonts w:cs="Candara"/>
          <w:color w:val="000000"/>
          <w:lang w:val="en-US" w:eastAsia="ja-JP"/>
        </w:rPr>
        <w:t>The Hyogo Framework for Action emphasized the importance of education.</w:t>
      </w:r>
      <w:r>
        <w:rPr>
          <w:rFonts w:cs="Candara"/>
          <w:b/>
          <w:color w:val="000000"/>
          <w:lang w:val="en-US" w:eastAsia="ja-JP"/>
        </w:rPr>
        <w:t xml:space="preserve">     </w:t>
      </w:r>
      <w:r w:rsidR="00EC161E">
        <w:rPr>
          <w:rFonts w:cs="Candara"/>
          <w:b/>
          <w:color w:val="000000"/>
          <w:lang w:val="en-US" w:eastAsia="ja-JP"/>
        </w:rPr>
        <w:t xml:space="preserve">Save The Children calls on all governments to have a plan in place by 2015 to ensure that </w:t>
      </w:r>
      <w:r w:rsidR="00B410F0" w:rsidRPr="00FD22DA">
        <w:rPr>
          <w:rFonts w:cs="Candara"/>
          <w:b/>
          <w:color w:val="000000"/>
          <w:lang w:val="en-US" w:eastAsia="ja-JP"/>
        </w:rPr>
        <w:t>every new school is disaster-resilient</w:t>
      </w:r>
      <w:r w:rsidR="00EC161E">
        <w:rPr>
          <w:rFonts w:cs="Candara"/>
          <w:b/>
          <w:color w:val="000000"/>
          <w:lang w:val="en-US" w:eastAsia="ja-JP"/>
        </w:rPr>
        <w:t xml:space="preserve">.  </w:t>
      </w:r>
      <w:r w:rsidR="00EC161E" w:rsidRPr="00EC161E">
        <w:rPr>
          <w:rFonts w:cs="Candara"/>
          <w:color w:val="000000"/>
          <w:lang w:val="en-US" w:eastAsia="ja-JP"/>
        </w:rPr>
        <w:t xml:space="preserve">We are working with the international community and with governments on this and we believe that HFA2 should include a focus on education. A comprehensive approach to school safety means that </w:t>
      </w:r>
      <w:r w:rsidR="00B410F0" w:rsidRPr="00EC161E">
        <w:rPr>
          <w:rFonts w:cs="Candara"/>
          <w:color w:val="000000"/>
          <w:lang w:eastAsia="ja-JP"/>
        </w:rPr>
        <w:t>education</w:t>
      </w:r>
      <w:r w:rsidR="00B410F0">
        <w:rPr>
          <w:rFonts w:cs="Candara"/>
          <w:color w:val="000000"/>
          <w:lang w:eastAsia="ja-JP"/>
        </w:rPr>
        <w:t xml:space="preserve"> </w:t>
      </w:r>
      <w:r w:rsidR="00EC161E">
        <w:rPr>
          <w:rFonts w:cs="Candara"/>
          <w:color w:val="000000"/>
          <w:lang w:eastAsia="ja-JP"/>
        </w:rPr>
        <w:t xml:space="preserve">about reducing risks </w:t>
      </w:r>
      <w:r w:rsidR="00B410F0">
        <w:rPr>
          <w:rFonts w:cs="Candara"/>
          <w:color w:val="000000"/>
          <w:lang w:eastAsia="ja-JP"/>
        </w:rPr>
        <w:t xml:space="preserve">should be </w:t>
      </w:r>
      <w:r w:rsidR="00EC161E">
        <w:rPr>
          <w:rFonts w:cs="Candara"/>
          <w:color w:val="000000"/>
          <w:lang w:eastAsia="ja-JP"/>
        </w:rPr>
        <w:t xml:space="preserve">part of </w:t>
      </w:r>
      <w:r w:rsidR="00B410F0">
        <w:rPr>
          <w:rFonts w:cs="Candara"/>
          <w:color w:val="000000"/>
          <w:lang w:eastAsia="ja-JP"/>
        </w:rPr>
        <w:t xml:space="preserve">formal and non-formal learning for </w:t>
      </w:r>
      <w:r w:rsidR="00EC161E">
        <w:rPr>
          <w:rFonts w:cs="Candara"/>
          <w:color w:val="000000"/>
          <w:lang w:eastAsia="ja-JP"/>
        </w:rPr>
        <w:t xml:space="preserve">all children. </w:t>
      </w:r>
    </w:p>
    <w:p w:rsidR="00EC161E" w:rsidRDefault="00EC161E" w:rsidP="00EC161E">
      <w:pPr>
        <w:spacing w:after="60" w:line="240" w:lineRule="auto"/>
        <w:rPr>
          <w:rFonts w:cs="Candara"/>
          <w:color w:val="000000"/>
          <w:lang w:eastAsia="ja-JP"/>
        </w:rPr>
      </w:pPr>
    </w:p>
    <w:p w:rsidR="00B907B8" w:rsidRDefault="00B907B8" w:rsidP="00EC161E">
      <w:pPr>
        <w:spacing w:after="60" w:line="240" w:lineRule="auto"/>
      </w:pPr>
      <w:r>
        <w:t xml:space="preserve">Save the Children is committed to working with ISDR partners, governments, </w:t>
      </w:r>
      <w:r w:rsidR="00EC161E">
        <w:t xml:space="preserve">the private sector, </w:t>
      </w:r>
      <w:r>
        <w:t>donors,</w:t>
      </w:r>
      <w:r w:rsidR="00EC161E">
        <w:t xml:space="preserve"> </w:t>
      </w:r>
      <w:r>
        <w:t xml:space="preserve">communities and children themselves </w:t>
      </w:r>
      <w:r w:rsidR="00EC161E">
        <w:t xml:space="preserve">in pursuit of a more resilient future. </w:t>
      </w:r>
    </w:p>
    <w:p w:rsidR="00EC161E" w:rsidRDefault="00EC161E" w:rsidP="00EC161E">
      <w:pPr>
        <w:spacing w:after="60" w:line="240" w:lineRule="auto"/>
      </w:pPr>
    </w:p>
    <w:p w:rsidR="006A3E50" w:rsidRDefault="00B907B8" w:rsidP="00B907B8">
      <w:r>
        <w:t>Thank you.</w:t>
      </w:r>
      <w:r w:rsidR="006A3E50" w:rsidRPr="006A3E50">
        <w:t xml:space="preserve"> </w:t>
      </w:r>
    </w:p>
    <w:sectPr w:rsidR="006A3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B2E"/>
    <w:multiLevelType w:val="hybridMultilevel"/>
    <w:tmpl w:val="6706CAFE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450D8"/>
    <w:multiLevelType w:val="hybridMultilevel"/>
    <w:tmpl w:val="74569F72"/>
    <w:lvl w:ilvl="0" w:tplc="10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2D747D6B"/>
    <w:multiLevelType w:val="hybridMultilevel"/>
    <w:tmpl w:val="F938620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F81146"/>
    <w:multiLevelType w:val="hybridMultilevel"/>
    <w:tmpl w:val="14E8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F00566"/>
    <w:multiLevelType w:val="hybridMultilevel"/>
    <w:tmpl w:val="3F08840A"/>
    <w:lvl w:ilvl="0" w:tplc="10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7B8"/>
    <w:rsid w:val="000513CB"/>
    <w:rsid w:val="00365795"/>
    <w:rsid w:val="003A0676"/>
    <w:rsid w:val="0044571D"/>
    <w:rsid w:val="006A3E50"/>
    <w:rsid w:val="008C6049"/>
    <w:rsid w:val="009515D2"/>
    <w:rsid w:val="00B03D5E"/>
    <w:rsid w:val="00B20E90"/>
    <w:rsid w:val="00B410F0"/>
    <w:rsid w:val="00B907B8"/>
    <w:rsid w:val="00E42077"/>
    <w:rsid w:val="00E91295"/>
    <w:rsid w:val="00EB6471"/>
    <w:rsid w:val="00EC161E"/>
    <w:rsid w:val="00EE593D"/>
    <w:rsid w:val="00F34EB6"/>
    <w:rsid w:val="00FE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10F0"/>
    <w:pPr>
      <w:spacing w:after="0" w:line="240" w:lineRule="auto"/>
      <w:ind w:left="720"/>
    </w:pPr>
    <w:rPr>
      <w:rFonts w:ascii="Calibri" w:eastAsia="Times New Roman" w:hAnsi="Calibri" w:cs="Times New Roman"/>
      <w:lang w:val="nb-NO"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10F0"/>
    <w:pPr>
      <w:spacing w:after="0" w:line="240" w:lineRule="auto"/>
      <w:ind w:left="720"/>
    </w:pPr>
    <w:rPr>
      <w:rFonts w:ascii="Calibri" w:eastAsia="Times New Roman" w:hAnsi="Calibri" w:cs="Times New Roman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E25609B7</Template>
  <TotalTime>5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Save The Children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Hall</dc:creator>
  <cp:lastModifiedBy>Nick Hall</cp:lastModifiedBy>
  <cp:revision>2</cp:revision>
  <dcterms:created xsi:type="dcterms:W3CDTF">2013-05-20T11:05:00Z</dcterms:created>
  <dcterms:modified xsi:type="dcterms:W3CDTF">2013-05-20T11:05:00Z</dcterms:modified>
</cp:coreProperties>
</file>