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5" w:rsidRPr="000B019C" w:rsidRDefault="00AB0295" w:rsidP="0002112B">
      <w:pPr>
        <w:pBdr>
          <w:bottom w:val="single" w:sz="4" w:space="1" w:color="auto"/>
        </w:pBdr>
        <w:spacing w:after="240"/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  <w:lang w:val="en-GB"/>
        </w:rPr>
      </w:pPr>
      <w:r w:rsidRPr="000B019C">
        <w:rPr>
          <w:rFonts w:asciiTheme="majorHAnsi" w:hAnsiTheme="majorHAnsi"/>
          <w:b/>
          <w:color w:val="365F91" w:themeColor="accent1" w:themeShade="BF"/>
          <w:sz w:val="40"/>
          <w:szCs w:val="40"/>
          <w:lang w:val="en-GB"/>
        </w:rPr>
        <w:t>Africa Consultative Meeting</w:t>
      </w:r>
    </w:p>
    <w:p w:rsidR="00AB0295" w:rsidRPr="000B019C" w:rsidRDefault="00AB0295" w:rsidP="00AB0295">
      <w:pPr>
        <w:spacing w:after="120"/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0B019C">
        <w:rPr>
          <w:rFonts w:asciiTheme="majorHAnsi" w:hAnsiTheme="majorHAnsi"/>
          <w:b/>
          <w:sz w:val="32"/>
          <w:szCs w:val="32"/>
          <w:lang w:val="en-GB"/>
        </w:rPr>
        <w:t xml:space="preserve"> Developing an Africa Position for the </w:t>
      </w:r>
    </w:p>
    <w:p w:rsidR="00AB0295" w:rsidRPr="000B019C" w:rsidRDefault="00AB0295" w:rsidP="00AB0295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0B019C">
        <w:rPr>
          <w:rFonts w:asciiTheme="majorHAnsi" w:hAnsiTheme="majorHAnsi"/>
          <w:b/>
          <w:sz w:val="32"/>
          <w:szCs w:val="32"/>
          <w:lang w:val="en-GB"/>
        </w:rPr>
        <w:t>Post-2015 Framework for Disaster Risk Reduction</w:t>
      </w:r>
    </w:p>
    <w:p w:rsidR="00AB0295" w:rsidRPr="000B019C" w:rsidRDefault="00AB0295" w:rsidP="00AB0295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</w:p>
    <w:p w:rsidR="00AB0295" w:rsidRPr="000B019C" w:rsidRDefault="00AB0295" w:rsidP="00AB0295">
      <w:pPr>
        <w:spacing w:after="120"/>
        <w:jc w:val="center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Pr="000B019C">
        <w:rPr>
          <w:sz w:val="26"/>
          <w:szCs w:val="26"/>
          <w:lang w:val="en-GB"/>
        </w:rPr>
        <w:t>●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bookmarkStart w:id="0" w:name="_GoBack"/>
      <w:r w:rsidRPr="000B019C">
        <w:rPr>
          <w:rFonts w:asciiTheme="majorHAnsi" w:hAnsiTheme="majorHAnsi"/>
          <w:sz w:val="26"/>
          <w:szCs w:val="26"/>
          <w:lang w:val="en-GB"/>
        </w:rPr>
        <w:t>Safari Park Hotel</w:t>
      </w:r>
      <w:bookmarkEnd w:id="0"/>
      <w:r w:rsidRPr="000B019C">
        <w:rPr>
          <w:rFonts w:asciiTheme="majorHAnsi" w:hAnsiTheme="majorHAnsi"/>
          <w:sz w:val="26"/>
          <w:szCs w:val="26"/>
          <w:lang w:val="en-GB"/>
        </w:rPr>
        <w:t xml:space="preserve">, Nairobi </w:t>
      </w:r>
      <w:r w:rsidRPr="000B019C">
        <w:rPr>
          <w:sz w:val="26"/>
          <w:szCs w:val="26"/>
          <w:lang w:val="en-GB"/>
        </w:rPr>
        <w:t>●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25 – 26 November 2013 </w:t>
      </w:r>
      <w:r w:rsidRPr="000B019C">
        <w:rPr>
          <w:sz w:val="26"/>
          <w:szCs w:val="26"/>
          <w:lang w:val="en-GB"/>
        </w:rPr>
        <w:t>●</w:t>
      </w:r>
    </w:p>
    <w:p w:rsidR="00AB0295" w:rsidRPr="00A6714C" w:rsidRDefault="00AB0295" w:rsidP="00AB0295">
      <w:pPr>
        <w:pStyle w:val="ListParagraph"/>
        <w:tabs>
          <w:tab w:val="center" w:pos="4320"/>
        </w:tabs>
        <w:ind w:left="4155"/>
        <w:rPr>
          <w:rFonts w:asciiTheme="majorHAnsi" w:hAnsiTheme="majorHAnsi"/>
          <w:b/>
          <w:sz w:val="4"/>
          <w:lang w:val="en-GB"/>
        </w:rPr>
      </w:pPr>
    </w:p>
    <w:p w:rsidR="00C327DC" w:rsidRPr="000B019C" w:rsidRDefault="00C327DC" w:rsidP="00AB0295">
      <w:pPr>
        <w:pStyle w:val="ListParagraph"/>
        <w:tabs>
          <w:tab w:val="center" w:pos="4320"/>
        </w:tabs>
        <w:ind w:left="4155"/>
        <w:rPr>
          <w:rFonts w:asciiTheme="majorHAnsi" w:hAnsiTheme="majorHAnsi"/>
          <w:b/>
          <w:lang w:val="en-GB"/>
        </w:rPr>
      </w:pPr>
    </w:p>
    <w:p w:rsidR="00AB0295" w:rsidRDefault="00AB0295" w:rsidP="0002112B">
      <w:pPr>
        <w:jc w:val="center"/>
        <w:rPr>
          <w:rFonts w:asciiTheme="majorHAnsi" w:hAnsiTheme="majorHAnsi"/>
          <w:b/>
          <w:color w:val="365F91" w:themeColor="accent1" w:themeShade="BF"/>
          <w:sz w:val="30"/>
          <w:lang w:val="en-GB"/>
        </w:rPr>
      </w:pPr>
      <w:r w:rsidRPr="000B019C">
        <w:rPr>
          <w:rFonts w:asciiTheme="majorHAnsi" w:hAnsiTheme="majorHAnsi"/>
          <w:b/>
          <w:color w:val="365F91" w:themeColor="accent1" w:themeShade="BF"/>
          <w:sz w:val="30"/>
          <w:lang w:val="en-GB"/>
        </w:rPr>
        <w:t>SUMMARY STATEMENT</w:t>
      </w:r>
    </w:p>
    <w:p w:rsidR="00AB0295" w:rsidRPr="00A6714C" w:rsidRDefault="00AB0295" w:rsidP="0002112B">
      <w:pPr>
        <w:rPr>
          <w:rFonts w:asciiTheme="majorHAnsi" w:hAnsiTheme="majorHAnsi"/>
          <w:b/>
          <w:sz w:val="26"/>
          <w:lang w:val="en-GB"/>
        </w:rPr>
      </w:pPr>
    </w:p>
    <w:p w:rsidR="00837935" w:rsidRPr="000B019C" w:rsidRDefault="00D12039" w:rsidP="00462E6F">
      <w:pPr>
        <w:tabs>
          <w:tab w:val="center" w:pos="4320"/>
          <w:tab w:val="left" w:pos="6600"/>
        </w:tabs>
        <w:spacing w:after="200" w:line="288" w:lineRule="auto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Delegates from countries,</w:t>
      </w:r>
      <w:r w:rsidRPr="000B019C">
        <w:rPr>
          <w:rFonts w:asciiTheme="majorHAnsi" w:hAnsiTheme="majorHAnsi"/>
          <w:lang w:val="en-GB"/>
        </w:rPr>
        <w:t xml:space="preserve"> intergovernmental regional organizations,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development partners including donors, United Nations, Non-Governmental Organisations, </w:t>
      </w:r>
      <w:r w:rsidRPr="000B019C">
        <w:rPr>
          <w:rFonts w:asciiTheme="majorHAnsi" w:hAnsiTheme="majorHAnsi"/>
          <w:lang w:val="en-GB"/>
        </w:rPr>
        <w:t>academic institutions</w:t>
      </w:r>
      <w:r w:rsidRPr="000B019C">
        <w:rPr>
          <w:rFonts w:asciiTheme="majorHAnsi" w:hAnsiTheme="majorHAnsi"/>
          <w:sz w:val="26"/>
          <w:szCs w:val="26"/>
          <w:lang w:val="en-GB"/>
        </w:rPr>
        <w:t>, and other international organisations</w:t>
      </w:r>
      <w:r w:rsidR="006B1496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E002BA" w:rsidRPr="000B019C">
        <w:rPr>
          <w:rFonts w:asciiTheme="majorHAnsi" w:hAnsiTheme="majorHAnsi"/>
          <w:sz w:val="26"/>
          <w:szCs w:val="26"/>
          <w:lang w:val="en-GB"/>
        </w:rPr>
        <w:t xml:space="preserve">came together </w:t>
      </w:r>
      <w:r w:rsidR="002C4E5C" w:rsidRPr="000B019C">
        <w:rPr>
          <w:rFonts w:asciiTheme="majorHAnsi" w:hAnsiTheme="majorHAnsi"/>
          <w:sz w:val="26"/>
          <w:szCs w:val="26"/>
          <w:lang w:val="en-GB"/>
        </w:rPr>
        <w:t xml:space="preserve">for </w:t>
      </w:r>
      <w:r w:rsidR="00C87A4D" w:rsidRPr="000B019C">
        <w:rPr>
          <w:rFonts w:asciiTheme="majorHAnsi" w:hAnsiTheme="majorHAnsi"/>
          <w:sz w:val="26"/>
          <w:szCs w:val="26"/>
          <w:lang w:val="en-GB"/>
        </w:rPr>
        <w:t>the Africa Consultative Meeting to develop draft Africa Position on post-2015 framework for disaster risk reduction (HFA-2)</w:t>
      </w:r>
      <w:r w:rsidR="00440977" w:rsidRPr="000B019C">
        <w:rPr>
          <w:rFonts w:asciiTheme="majorHAnsi" w:hAnsiTheme="majorHAnsi"/>
          <w:sz w:val="26"/>
          <w:szCs w:val="26"/>
          <w:lang w:val="en-GB"/>
        </w:rPr>
        <w:t xml:space="preserve">, held in Nairobi on 25 and 26 November 2013. </w:t>
      </w:r>
    </w:p>
    <w:p w:rsidR="00A27A12" w:rsidRPr="000B019C" w:rsidRDefault="00DE3F3C" w:rsidP="00AA25B7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after="20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The Summary Statement bui</w:t>
      </w:r>
      <w:r w:rsidR="00EF24C9" w:rsidRPr="000B019C">
        <w:rPr>
          <w:rFonts w:asciiTheme="majorHAnsi" w:hAnsiTheme="majorHAnsi"/>
          <w:sz w:val="26"/>
          <w:szCs w:val="26"/>
          <w:lang w:val="en-GB"/>
        </w:rPr>
        <w:t>lds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on deliberations </w:t>
      </w:r>
      <w:r w:rsidR="00440977" w:rsidRPr="000B019C">
        <w:rPr>
          <w:rFonts w:asciiTheme="majorHAnsi" w:hAnsiTheme="majorHAnsi"/>
          <w:sz w:val="26"/>
          <w:szCs w:val="26"/>
          <w:lang w:val="en-GB"/>
        </w:rPr>
        <w:t>by participants</w:t>
      </w:r>
      <w:r w:rsidR="00D87401" w:rsidRPr="000B019C">
        <w:rPr>
          <w:rFonts w:asciiTheme="majorHAnsi" w:hAnsiTheme="majorHAnsi"/>
          <w:sz w:val="26"/>
          <w:szCs w:val="26"/>
          <w:lang w:val="en-GB"/>
        </w:rPr>
        <w:t xml:space="preserve"> over two days on a shared </w:t>
      </w:r>
      <w:r w:rsidR="00B95442" w:rsidRPr="000B019C">
        <w:rPr>
          <w:rFonts w:asciiTheme="majorHAnsi" w:hAnsiTheme="majorHAnsi"/>
          <w:sz w:val="26"/>
          <w:szCs w:val="26"/>
          <w:lang w:val="en-GB"/>
        </w:rPr>
        <w:t xml:space="preserve">continental </w:t>
      </w:r>
      <w:r w:rsidR="00A677F4" w:rsidRPr="000B019C">
        <w:rPr>
          <w:rFonts w:asciiTheme="majorHAnsi" w:hAnsiTheme="majorHAnsi"/>
          <w:sz w:val="26"/>
          <w:szCs w:val="26"/>
          <w:lang w:val="en-GB"/>
        </w:rPr>
        <w:t>vision for HFA-2, which also includes multi-stakeholder</w:t>
      </w:r>
      <w:r w:rsidR="00631097" w:rsidRPr="000B019C">
        <w:rPr>
          <w:rFonts w:asciiTheme="majorHAnsi" w:hAnsiTheme="majorHAnsi"/>
          <w:sz w:val="26"/>
          <w:szCs w:val="26"/>
          <w:lang w:val="en-GB"/>
        </w:rPr>
        <w:t xml:space="preserve"> consultations</w:t>
      </w:r>
      <w:r w:rsidR="00A677F4" w:rsidRPr="000B019C">
        <w:rPr>
          <w:rFonts w:asciiTheme="majorHAnsi" w:hAnsiTheme="majorHAnsi"/>
          <w:sz w:val="26"/>
          <w:szCs w:val="26"/>
          <w:lang w:val="en-GB"/>
        </w:rPr>
        <w:t xml:space="preserve"> conducted at regional, sub-regional, national and thematic levels. </w:t>
      </w:r>
      <w:r w:rsidR="00CA2565" w:rsidRPr="000B019C">
        <w:rPr>
          <w:rFonts w:asciiTheme="majorHAnsi" w:hAnsiTheme="majorHAnsi"/>
          <w:sz w:val="26"/>
          <w:szCs w:val="26"/>
          <w:lang w:val="en-GB"/>
        </w:rPr>
        <w:t>Participants reviewed progress</w:t>
      </w:r>
      <w:r w:rsidR="00DE30D7" w:rsidRPr="000B019C">
        <w:rPr>
          <w:rFonts w:asciiTheme="majorHAnsi" w:hAnsiTheme="majorHAnsi"/>
          <w:sz w:val="26"/>
          <w:szCs w:val="26"/>
          <w:lang w:val="en-GB"/>
        </w:rPr>
        <w:t>es</w:t>
      </w:r>
      <w:r w:rsidR="00CA2565" w:rsidRPr="000B019C">
        <w:rPr>
          <w:rFonts w:asciiTheme="majorHAnsi" w:hAnsiTheme="majorHAnsi"/>
          <w:sz w:val="26"/>
          <w:szCs w:val="26"/>
          <w:lang w:val="en-GB"/>
        </w:rPr>
        <w:t xml:space="preserve"> made and challenges faced in </w:t>
      </w:r>
      <w:r w:rsidR="00DE30D7" w:rsidRPr="000B019C">
        <w:rPr>
          <w:rFonts w:asciiTheme="majorHAnsi" w:hAnsiTheme="majorHAnsi"/>
          <w:sz w:val="26"/>
          <w:szCs w:val="26"/>
          <w:lang w:val="en-GB"/>
        </w:rPr>
        <w:t xml:space="preserve">the continent during the implementation of Hyogo Framework for Action 2005-2015 and Africa Regional Strategy for Disaster Risk Reduction and its associated Extended Programme of Action 2006-2015. </w:t>
      </w:r>
      <w:r w:rsidR="00E11FED" w:rsidRPr="000B019C">
        <w:rPr>
          <w:rFonts w:asciiTheme="majorHAnsi" w:hAnsiTheme="majorHAnsi"/>
          <w:sz w:val="26"/>
          <w:szCs w:val="26"/>
          <w:lang w:val="en-GB"/>
        </w:rPr>
        <w:t xml:space="preserve">Based on these analyses recommendations were made </w:t>
      </w:r>
      <w:r w:rsidR="000B4853" w:rsidRPr="000B019C">
        <w:rPr>
          <w:rFonts w:asciiTheme="majorHAnsi" w:hAnsiTheme="majorHAnsi"/>
          <w:sz w:val="26"/>
          <w:szCs w:val="26"/>
          <w:lang w:val="en-GB"/>
        </w:rPr>
        <w:t xml:space="preserve">for Africa’s proposed priorities for HFA-2. </w:t>
      </w:r>
    </w:p>
    <w:p w:rsidR="00AA25B7" w:rsidRPr="000B019C" w:rsidRDefault="00D01F7C" w:rsidP="00AA25B7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after="20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The recommendations put forward in this Summary Statement aim to guide</w:t>
      </w:r>
      <w:r w:rsidR="00945FEC" w:rsidRPr="000B019C">
        <w:rPr>
          <w:rFonts w:asciiTheme="majorHAnsi" w:hAnsiTheme="majorHAnsi"/>
          <w:sz w:val="26"/>
          <w:szCs w:val="26"/>
          <w:lang w:val="en-GB"/>
        </w:rPr>
        <w:t xml:space="preserve"> the ensuing consultations and firming-up the continental position on HFA-2</w:t>
      </w:r>
      <w:r w:rsidR="003423D9" w:rsidRPr="000B019C">
        <w:rPr>
          <w:rFonts w:asciiTheme="majorHAnsi" w:hAnsiTheme="majorHAnsi"/>
          <w:sz w:val="26"/>
          <w:szCs w:val="26"/>
          <w:lang w:val="en-GB"/>
        </w:rPr>
        <w:t>.</w:t>
      </w:r>
      <w:r w:rsidR="00D91802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</w:p>
    <w:p w:rsidR="00E041BA" w:rsidRPr="000B019C" w:rsidRDefault="00C4527A" w:rsidP="00D03921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Participants identif</w:t>
      </w:r>
      <w:r w:rsidR="00BE2F54" w:rsidRPr="000B019C">
        <w:rPr>
          <w:rFonts w:asciiTheme="majorHAnsi" w:hAnsiTheme="majorHAnsi"/>
          <w:sz w:val="26"/>
          <w:szCs w:val="26"/>
          <w:lang w:val="en-GB"/>
        </w:rPr>
        <w:t xml:space="preserve">y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the following </w:t>
      </w:r>
      <w:r w:rsidRPr="00DF6DB3">
        <w:rPr>
          <w:rFonts w:asciiTheme="majorHAnsi" w:hAnsiTheme="majorHAnsi"/>
          <w:b/>
          <w:sz w:val="26"/>
          <w:szCs w:val="26"/>
          <w:lang w:val="en-GB"/>
        </w:rPr>
        <w:t>achievements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of the implementation of Hyogo Framework for Action 2005-2015 and Africa Regional Strategy for Disaster Risk Reduction:</w:t>
      </w:r>
    </w:p>
    <w:p w:rsidR="001B3BE5" w:rsidRPr="000B019C" w:rsidRDefault="00067F36" w:rsidP="00057F30">
      <w:pPr>
        <w:pStyle w:val="ListParagraph"/>
        <w:numPr>
          <w:ilvl w:val="1"/>
          <w:numId w:val="9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African countries </w:t>
      </w:r>
      <w:r w:rsidR="009616C6" w:rsidRPr="000B019C">
        <w:rPr>
          <w:rFonts w:asciiTheme="majorHAnsi" w:hAnsiTheme="majorHAnsi"/>
          <w:sz w:val="26"/>
          <w:szCs w:val="26"/>
          <w:lang w:val="en-GB"/>
        </w:rPr>
        <w:t>have seen a p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aradigm shift in focus from </w:t>
      </w:r>
      <w:r w:rsidR="00FE0A5D" w:rsidRPr="000B019C">
        <w:rPr>
          <w:rFonts w:asciiTheme="majorHAnsi" w:hAnsiTheme="majorHAnsi"/>
          <w:sz w:val="26"/>
          <w:szCs w:val="26"/>
          <w:lang w:val="en-GB"/>
        </w:rPr>
        <w:t xml:space="preserve">reactive </w:t>
      </w:r>
      <w:r w:rsidR="00C50CF6" w:rsidRPr="000B019C">
        <w:rPr>
          <w:rFonts w:asciiTheme="majorHAnsi" w:hAnsiTheme="majorHAnsi"/>
          <w:sz w:val="26"/>
          <w:szCs w:val="26"/>
          <w:lang w:val="en-GB"/>
        </w:rPr>
        <w:t xml:space="preserve">emergency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response to </w:t>
      </w:r>
      <w:r w:rsidR="00FE0A5D" w:rsidRPr="000B019C">
        <w:rPr>
          <w:rFonts w:asciiTheme="majorHAnsi" w:hAnsiTheme="majorHAnsi"/>
          <w:sz w:val="26"/>
          <w:szCs w:val="26"/>
          <w:lang w:val="en-GB"/>
        </w:rPr>
        <w:t xml:space="preserve">proactive risk reduction. </w:t>
      </w:r>
    </w:p>
    <w:p w:rsidR="001B3BE5" w:rsidRPr="000B019C" w:rsidRDefault="00B73207" w:rsidP="00057F30">
      <w:pPr>
        <w:pStyle w:val="ListParagraph"/>
        <w:numPr>
          <w:ilvl w:val="1"/>
          <w:numId w:val="9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lastRenderedPageBreak/>
        <w:t>Stakeholders have an enhanced a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wareness about </w:t>
      </w:r>
      <w:r w:rsidR="00967CAF" w:rsidRPr="000B019C">
        <w:rPr>
          <w:rFonts w:asciiTheme="majorHAnsi" w:hAnsiTheme="majorHAnsi"/>
          <w:sz w:val="26"/>
          <w:szCs w:val="26"/>
          <w:lang w:val="en-GB"/>
        </w:rPr>
        <w:t xml:space="preserve">disaster risk reduction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and consequent growing political commitment</w:t>
      </w:r>
      <w:r w:rsidR="00967CAF"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</w:p>
    <w:p w:rsidR="001B3BE5" w:rsidRPr="000B019C" w:rsidRDefault="00967CAF" w:rsidP="00057F30">
      <w:pPr>
        <w:pStyle w:val="ListParagraph"/>
        <w:numPr>
          <w:ilvl w:val="1"/>
          <w:numId w:val="9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There has been an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appreciable progress in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risk identification and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early warning especially with the meteorological services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</w:p>
    <w:p w:rsidR="001B3BE5" w:rsidRPr="000B019C" w:rsidRDefault="005F6E47" w:rsidP="00057F30">
      <w:pPr>
        <w:pStyle w:val="ListParagraph"/>
        <w:numPr>
          <w:ilvl w:val="1"/>
          <w:numId w:val="9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With rapid economic growth of African economies there is also a growing m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arket for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disaster risk reduction evident from the increasing number of academic and professional </w:t>
      </w:r>
      <w:r w:rsidR="00FB3CC9" w:rsidRPr="000B019C">
        <w:rPr>
          <w:rFonts w:asciiTheme="majorHAnsi" w:hAnsiTheme="majorHAnsi"/>
          <w:sz w:val="26"/>
          <w:szCs w:val="26"/>
          <w:lang w:val="en-GB"/>
        </w:rPr>
        <w:t xml:space="preserve">research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institutions on disaster risk reduction. </w:t>
      </w:r>
    </w:p>
    <w:p w:rsidR="001B3BE5" w:rsidRPr="000B019C" w:rsidRDefault="00653A87" w:rsidP="00057F30">
      <w:pPr>
        <w:pStyle w:val="ListParagraph"/>
        <w:numPr>
          <w:ilvl w:val="1"/>
          <w:numId w:val="9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The level of </w:t>
      </w:r>
      <w:r w:rsidR="009F2769" w:rsidRPr="000B019C">
        <w:rPr>
          <w:rFonts w:asciiTheme="majorHAnsi" w:hAnsiTheme="majorHAnsi"/>
          <w:sz w:val="26"/>
          <w:szCs w:val="26"/>
          <w:lang w:val="en-GB"/>
        </w:rPr>
        <w:t>coordination has seen an increase with m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ulti-</w:t>
      </w:r>
      <w:r w:rsidR="009F2769" w:rsidRPr="000B019C">
        <w:rPr>
          <w:rFonts w:asciiTheme="majorHAnsi" w:hAnsiTheme="majorHAnsi"/>
          <w:sz w:val="26"/>
          <w:szCs w:val="26"/>
          <w:lang w:val="en-GB"/>
        </w:rPr>
        <w:t>s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takeholder platforms facilitating multi-sectorial risk dialogues</w:t>
      </w:r>
      <w:r w:rsidR="0021479E"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</w:p>
    <w:p w:rsidR="00A239EE" w:rsidRPr="000B019C" w:rsidRDefault="00A239EE" w:rsidP="00D03921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before="200"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The participants also identif</w:t>
      </w:r>
      <w:r w:rsidR="00BE2F54" w:rsidRPr="000B019C">
        <w:rPr>
          <w:rFonts w:asciiTheme="majorHAnsi" w:hAnsiTheme="majorHAnsi"/>
          <w:sz w:val="26"/>
          <w:szCs w:val="26"/>
          <w:lang w:val="en-GB"/>
        </w:rPr>
        <w:t xml:space="preserve">y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following </w:t>
      </w:r>
      <w:r w:rsidRPr="00DF6DB3">
        <w:rPr>
          <w:rFonts w:asciiTheme="majorHAnsi" w:hAnsiTheme="majorHAnsi"/>
          <w:b/>
          <w:sz w:val="26"/>
          <w:szCs w:val="26"/>
          <w:lang w:val="en-GB"/>
        </w:rPr>
        <w:t>gaps and challenges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in the implementation of Hyogo Framework for Action and Africa Regional Strategy for Disaster Risk Reduction:</w:t>
      </w:r>
      <w:r w:rsidR="00543AC3">
        <w:rPr>
          <w:rFonts w:asciiTheme="majorHAnsi" w:hAnsiTheme="majorHAnsi"/>
          <w:sz w:val="26"/>
          <w:szCs w:val="26"/>
          <w:lang w:val="en-GB"/>
        </w:rPr>
        <w:t xml:space="preserve"> </w:t>
      </w:r>
    </w:p>
    <w:p w:rsidR="001B3BE5" w:rsidRPr="000B019C" w:rsidRDefault="003614AF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Despite availability of e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arly </w:t>
      </w:r>
      <w:r w:rsidRPr="000B019C">
        <w:rPr>
          <w:rFonts w:asciiTheme="majorHAnsi" w:hAnsiTheme="majorHAnsi"/>
          <w:sz w:val="26"/>
          <w:szCs w:val="26"/>
          <w:lang w:val="en-GB"/>
        </w:rPr>
        <w:t>w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arning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systems and information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its translation into </w:t>
      </w:r>
      <w:r w:rsidRPr="000B019C">
        <w:rPr>
          <w:rFonts w:asciiTheme="majorHAnsi" w:hAnsiTheme="majorHAnsi"/>
          <w:sz w:val="26"/>
          <w:szCs w:val="26"/>
          <w:lang w:val="en-GB"/>
        </w:rPr>
        <w:t>e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arly </w:t>
      </w:r>
      <w:r w:rsidRPr="000B019C">
        <w:rPr>
          <w:rFonts w:asciiTheme="majorHAnsi" w:hAnsiTheme="majorHAnsi"/>
          <w:sz w:val="26"/>
          <w:szCs w:val="26"/>
          <w:lang w:val="en-GB"/>
        </w:rPr>
        <w:t>a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ction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has been found to be inadequate. </w:t>
      </w:r>
      <w:r w:rsidR="00516882" w:rsidRPr="000B019C">
        <w:rPr>
          <w:rFonts w:asciiTheme="majorHAnsi" w:hAnsiTheme="majorHAnsi"/>
          <w:sz w:val="26"/>
          <w:szCs w:val="26"/>
          <w:lang w:val="en-GB"/>
        </w:rPr>
        <w:t xml:space="preserve">Further, information dissemination from source to end-user </w:t>
      </w:r>
      <w:r w:rsidR="00401A39" w:rsidRPr="000B019C">
        <w:rPr>
          <w:rFonts w:asciiTheme="majorHAnsi" w:hAnsiTheme="majorHAnsi"/>
          <w:sz w:val="26"/>
          <w:szCs w:val="26"/>
          <w:lang w:val="en-GB"/>
        </w:rPr>
        <w:t xml:space="preserve">has been inadequate. </w:t>
      </w:r>
    </w:p>
    <w:p w:rsidR="001B3BE5" w:rsidRPr="000B019C" w:rsidRDefault="00AF2661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Countries have made progress in disaster risk reduction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policies and legislations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, but the legalization process and its implementation has been slow. </w:t>
      </w:r>
    </w:p>
    <w:p w:rsidR="001B3BE5" w:rsidRPr="000B019C" w:rsidRDefault="003B448E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Limited progress </w:t>
      </w:r>
      <w:r w:rsidR="00F3481A" w:rsidRPr="000B019C">
        <w:rPr>
          <w:rFonts w:asciiTheme="majorHAnsi" w:hAnsiTheme="majorHAnsi"/>
          <w:sz w:val="26"/>
          <w:szCs w:val="26"/>
          <w:lang w:val="en-GB"/>
        </w:rPr>
        <w:t xml:space="preserve">has been made </w:t>
      </w:r>
      <w:r w:rsidRPr="000B019C">
        <w:rPr>
          <w:rFonts w:asciiTheme="majorHAnsi" w:hAnsiTheme="majorHAnsi"/>
          <w:sz w:val="26"/>
          <w:szCs w:val="26"/>
          <w:lang w:val="en-GB"/>
        </w:rPr>
        <w:t>in addressing underlying causes of risk</w:t>
      </w:r>
      <w:r w:rsidR="00F3481A" w:rsidRPr="000B019C">
        <w:rPr>
          <w:rFonts w:asciiTheme="majorHAnsi" w:hAnsiTheme="majorHAnsi"/>
          <w:sz w:val="26"/>
          <w:szCs w:val="26"/>
          <w:lang w:val="en-GB"/>
        </w:rPr>
        <w:t xml:space="preserve"> (Priority for Action 4). </w:t>
      </w:r>
    </w:p>
    <w:p w:rsidR="001B3BE5" w:rsidRPr="000B019C" w:rsidRDefault="00C0080F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Effective monitoring of priorities for action has been weak due to i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nad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equate accountability framework. </w:t>
      </w:r>
    </w:p>
    <w:p w:rsidR="001B3BE5" w:rsidRPr="000B019C" w:rsidRDefault="009E4447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Integration of disaster risk reduction and climate change adaptation at policy, institution and implementation </w:t>
      </w:r>
      <w:r w:rsidR="00A24EB1" w:rsidRPr="000B019C">
        <w:rPr>
          <w:rFonts w:asciiTheme="majorHAnsi" w:hAnsiTheme="majorHAnsi"/>
          <w:sz w:val="26"/>
          <w:szCs w:val="26"/>
          <w:lang w:val="en-GB"/>
        </w:rPr>
        <w:t xml:space="preserve">levels </w:t>
      </w:r>
      <w:r w:rsidR="00735C19" w:rsidRPr="000B019C">
        <w:rPr>
          <w:rFonts w:asciiTheme="majorHAnsi" w:hAnsiTheme="majorHAnsi"/>
          <w:sz w:val="26"/>
          <w:szCs w:val="26"/>
          <w:lang w:val="en-GB"/>
        </w:rPr>
        <w:t xml:space="preserve">has been weak. </w:t>
      </w:r>
    </w:p>
    <w:p w:rsidR="001B3BE5" w:rsidRPr="000B019C" w:rsidRDefault="00DF6E81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Disaster risk reduction is still </w:t>
      </w:r>
      <w:r w:rsidR="001F37A2" w:rsidRPr="000B019C">
        <w:rPr>
          <w:rFonts w:asciiTheme="majorHAnsi" w:hAnsiTheme="majorHAnsi"/>
          <w:sz w:val="26"/>
          <w:szCs w:val="26"/>
          <w:lang w:val="en-GB"/>
        </w:rPr>
        <w:t xml:space="preserve">perceived as part of humanitarian community and actions and its integration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into development sectors</w:t>
      </w:r>
      <w:r w:rsidR="001F37A2" w:rsidRPr="000B019C">
        <w:rPr>
          <w:rFonts w:asciiTheme="majorHAnsi" w:hAnsiTheme="majorHAnsi"/>
          <w:sz w:val="26"/>
          <w:szCs w:val="26"/>
          <w:lang w:val="en-GB"/>
        </w:rPr>
        <w:t xml:space="preserve"> has been insufficient. </w:t>
      </w:r>
    </w:p>
    <w:p w:rsidR="005F759E" w:rsidRPr="000B019C" w:rsidRDefault="005F759E" w:rsidP="00057F30">
      <w:pPr>
        <w:pStyle w:val="ListParagraph"/>
        <w:numPr>
          <w:ilvl w:val="1"/>
          <w:numId w:val="12"/>
        </w:numPr>
        <w:spacing w:after="60" w:line="288" w:lineRule="auto"/>
        <w:ind w:left="1170" w:hanging="45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Underlining all factors is the low capacity levels, particularly at regional and sub-regional levels for disaster risk reduction policy and coordination. </w:t>
      </w:r>
    </w:p>
    <w:p w:rsidR="00A54B2A" w:rsidRPr="000B019C" w:rsidRDefault="00BE2F54" w:rsidP="0098063C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before="200"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lastRenderedPageBreak/>
        <w:t xml:space="preserve">Based on the analyses of progress and gaps, participants make </w:t>
      </w:r>
      <w:r w:rsidR="00B93E2C" w:rsidRPr="000B019C">
        <w:rPr>
          <w:rFonts w:asciiTheme="majorHAnsi" w:hAnsiTheme="majorHAnsi"/>
          <w:sz w:val="26"/>
          <w:szCs w:val="26"/>
          <w:lang w:val="en-GB"/>
        </w:rPr>
        <w:t xml:space="preserve">recommendations for HFA-2 </w:t>
      </w:r>
      <w:r w:rsidR="004F1A08" w:rsidRPr="000B019C">
        <w:rPr>
          <w:rFonts w:asciiTheme="majorHAnsi" w:hAnsiTheme="majorHAnsi"/>
          <w:sz w:val="26"/>
          <w:szCs w:val="26"/>
          <w:lang w:val="en-GB"/>
        </w:rPr>
        <w:t xml:space="preserve">centred around three broad areas: </w:t>
      </w:r>
    </w:p>
    <w:p w:rsidR="001B3BE5" w:rsidRPr="000B019C" w:rsidRDefault="003B448E" w:rsidP="00C43B7B">
      <w:pPr>
        <w:pStyle w:val="ListParagraph"/>
        <w:numPr>
          <w:ilvl w:val="1"/>
          <w:numId w:val="13"/>
        </w:numPr>
        <w:spacing w:after="60" w:line="288" w:lineRule="auto"/>
        <w:ind w:firstLine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Governance: Policy and Institutions </w:t>
      </w:r>
    </w:p>
    <w:p w:rsidR="001B3BE5" w:rsidRPr="000B019C" w:rsidRDefault="003B448E" w:rsidP="00C43B7B">
      <w:pPr>
        <w:pStyle w:val="ListParagraph"/>
        <w:numPr>
          <w:ilvl w:val="1"/>
          <w:numId w:val="13"/>
        </w:numPr>
        <w:spacing w:after="60" w:line="288" w:lineRule="auto"/>
        <w:ind w:firstLine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Risk information </w:t>
      </w:r>
    </w:p>
    <w:p w:rsidR="001B3BE5" w:rsidRPr="000B019C" w:rsidRDefault="003B448E" w:rsidP="00C43B7B">
      <w:pPr>
        <w:pStyle w:val="ListParagraph"/>
        <w:numPr>
          <w:ilvl w:val="1"/>
          <w:numId w:val="13"/>
        </w:numPr>
        <w:spacing w:after="60" w:line="288" w:lineRule="auto"/>
        <w:ind w:firstLine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D</w:t>
      </w:r>
      <w:r w:rsidR="00E16CA8" w:rsidRPr="000B019C">
        <w:rPr>
          <w:rFonts w:asciiTheme="majorHAnsi" w:hAnsiTheme="majorHAnsi"/>
          <w:sz w:val="26"/>
          <w:szCs w:val="26"/>
          <w:lang w:val="en-GB"/>
        </w:rPr>
        <w:t>isaster Risk Reduction I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ntegration </w:t>
      </w:r>
    </w:p>
    <w:p w:rsidR="001B3BE5" w:rsidRDefault="00BA43BC" w:rsidP="00FD093C">
      <w:pPr>
        <w:pStyle w:val="ListParagraph"/>
        <w:spacing w:before="200"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>Participants</w:t>
      </w:r>
      <w:r w:rsidR="00FE566A" w:rsidRPr="000B019C">
        <w:rPr>
          <w:rFonts w:asciiTheme="majorHAnsi" w:hAnsiTheme="majorHAnsi"/>
          <w:sz w:val="26"/>
          <w:szCs w:val="26"/>
          <w:lang w:val="en-GB"/>
        </w:rPr>
        <w:t xml:space="preserve"> assert that the progresses in implementation of Hyogo Framework for Action </w:t>
      </w:r>
      <w:r w:rsidR="00EA2B36" w:rsidRPr="000B019C">
        <w:rPr>
          <w:rFonts w:asciiTheme="majorHAnsi" w:hAnsiTheme="majorHAnsi"/>
          <w:sz w:val="26"/>
          <w:szCs w:val="26"/>
          <w:lang w:val="en-GB"/>
        </w:rPr>
        <w:t>has remained varied across space</w:t>
      </w:r>
      <w:r w:rsidR="006F252F">
        <w:rPr>
          <w:rFonts w:asciiTheme="majorHAnsi" w:hAnsiTheme="majorHAnsi"/>
          <w:sz w:val="26"/>
          <w:szCs w:val="26"/>
          <w:lang w:val="en-GB"/>
        </w:rPr>
        <w:t xml:space="preserve"> in Africa</w:t>
      </w:r>
      <w:r w:rsidR="00EA2B36" w:rsidRPr="000B019C">
        <w:rPr>
          <w:rFonts w:asciiTheme="majorHAnsi" w:hAnsiTheme="majorHAnsi"/>
          <w:sz w:val="26"/>
          <w:szCs w:val="26"/>
          <w:lang w:val="en-GB"/>
        </w:rPr>
        <w:t xml:space="preserve">, putting countries at different levels of </w:t>
      </w:r>
      <w:r w:rsidR="005C6D61" w:rsidRPr="000B019C">
        <w:rPr>
          <w:rFonts w:asciiTheme="majorHAnsi" w:hAnsiTheme="majorHAnsi"/>
          <w:sz w:val="26"/>
          <w:szCs w:val="26"/>
          <w:lang w:val="en-GB"/>
        </w:rPr>
        <w:t>disaster risk reduction</w:t>
      </w:r>
      <w:r w:rsidR="009E25F3" w:rsidRPr="000B019C">
        <w:rPr>
          <w:rFonts w:asciiTheme="majorHAnsi" w:hAnsiTheme="majorHAnsi"/>
          <w:sz w:val="26"/>
          <w:szCs w:val="26"/>
          <w:lang w:val="en-GB"/>
        </w:rPr>
        <w:t xml:space="preserve"> gains</w:t>
      </w:r>
      <w:r w:rsidR="005C6D61"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  <w:r w:rsidR="00507C09" w:rsidRPr="000B019C">
        <w:rPr>
          <w:rFonts w:asciiTheme="majorHAnsi" w:hAnsiTheme="majorHAnsi"/>
          <w:sz w:val="26"/>
          <w:szCs w:val="26"/>
          <w:lang w:val="en-GB"/>
        </w:rPr>
        <w:t xml:space="preserve">Hence, the new framework (HFA-2) should be a process contiguous to Hyogo Framework for Action, </w:t>
      </w:r>
      <w:r w:rsidR="00A10E50">
        <w:rPr>
          <w:rFonts w:asciiTheme="majorHAnsi" w:hAnsiTheme="majorHAnsi"/>
          <w:sz w:val="26"/>
          <w:szCs w:val="26"/>
          <w:lang w:val="en-GB"/>
        </w:rPr>
        <w:t>l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everag</w:t>
      </w:r>
      <w:r w:rsidR="00A10E50">
        <w:rPr>
          <w:rFonts w:asciiTheme="majorHAnsi" w:hAnsiTheme="majorHAnsi"/>
          <w:sz w:val="26"/>
          <w:szCs w:val="26"/>
          <w:lang w:val="en-GB"/>
        </w:rPr>
        <w:t>ing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 lessons from </w:t>
      </w:r>
      <w:r w:rsidR="00A10E50">
        <w:rPr>
          <w:rFonts w:asciiTheme="majorHAnsi" w:hAnsiTheme="majorHAnsi"/>
          <w:sz w:val="26"/>
          <w:szCs w:val="26"/>
          <w:lang w:val="en-GB"/>
        </w:rPr>
        <w:t xml:space="preserve">Hyogo Framework for Action </w:t>
      </w:r>
      <w:r w:rsidR="00507C09" w:rsidRPr="000B019C">
        <w:rPr>
          <w:rFonts w:asciiTheme="majorHAnsi" w:hAnsiTheme="majorHAnsi"/>
          <w:sz w:val="26"/>
          <w:szCs w:val="26"/>
          <w:lang w:val="en-GB"/>
        </w:rPr>
        <w:t>to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 address gaps and scaling up</w:t>
      </w:r>
      <w:r w:rsidR="00507C09" w:rsidRPr="000B019C">
        <w:rPr>
          <w:rFonts w:asciiTheme="majorHAnsi" w:hAnsiTheme="majorHAnsi"/>
          <w:sz w:val="26"/>
          <w:szCs w:val="26"/>
          <w:lang w:val="en-GB"/>
        </w:rPr>
        <w:t xml:space="preserve"> achievements. Further, renewed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attention </w:t>
      </w:r>
      <w:r w:rsidR="00507C09" w:rsidRPr="000B019C">
        <w:rPr>
          <w:rFonts w:asciiTheme="majorHAnsi" w:hAnsiTheme="majorHAnsi"/>
          <w:sz w:val="26"/>
          <w:szCs w:val="26"/>
          <w:lang w:val="en-GB"/>
        </w:rPr>
        <w:t>needs to be given to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 preventing economic losses, besides saving lives</w:t>
      </w:r>
      <w:r w:rsidR="00507C09" w:rsidRPr="000B019C">
        <w:rPr>
          <w:rFonts w:asciiTheme="majorHAnsi" w:hAnsiTheme="majorHAnsi"/>
          <w:sz w:val="26"/>
          <w:szCs w:val="26"/>
          <w:lang w:val="en-GB"/>
        </w:rPr>
        <w:t>. Finally HFA-2 needs to be integrated within the post-2015 development framework and climate change agreements</w:t>
      </w:r>
      <w:r w:rsidR="00A170A0">
        <w:rPr>
          <w:rFonts w:asciiTheme="majorHAnsi" w:hAnsiTheme="majorHAnsi"/>
          <w:sz w:val="26"/>
          <w:szCs w:val="26"/>
          <w:lang w:val="en-GB"/>
        </w:rPr>
        <w:t xml:space="preserve"> including </w:t>
      </w:r>
      <w:r w:rsidR="00AA54EE">
        <w:rPr>
          <w:rFonts w:asciiTheme="majorHAnsi" w:hAnsiTheme="majorHAnsi"/>
          <w:sz w:val="26"/>
          <w:szCs w:val="26"/>
          <w:lang w:val="en-GB"/>
        </w:rPr>
        <w:t xml:space="preserve">United Nations </w:t>
      </w:r>
      <w:r w:rsidR="00E905FA">
        <w:rPr>
          <w:rFonts w:asciiTheme="majorHAnsi" w:hAnsiTheme="majorHAnsi"/>
          <w:sz w:val="26"/>
          <w:szCs w:val="26"/>
          <w:lang w:val="en-GB"/>
        </w:rPr>
        <w:t xml:space="preserve">Convention </w:t>
      </w:r>
      <w:r w:rsidR="00AA54EE">
        <w:rPr>
          <w:rFonts w:asciiTheme="majorHAnsi" w:hAnsiTheme="majorHAnsi"/>
          <w:sz w:val="26"/>
          <w:szCs w:val="26"/>
          <w:lang w:val="en-GB"/>
        </w:rPr>
        <w:t>to</w:t>
      </w:r>
      <w:r w:rsidR="00E905FA">
        <w:rPr>
          <w:rFonts w:asciiTheme="majorHAnsi" w:hAnsiTheme="majorHAnsi"/>
          <w:sz w:val="26"/>
          <w:szCs w:val="26"/>
          <w:lang w:val="en-GB"/>
        </w:rPr>
        <w:t xml:space="preserve"> Combat Desertification</w:t>
      </w:r>
      <w:r w:rsidR="004A0644">
        <w:rPr>
          <w:rFonts w:asciiTheme="majorHAnsi" w:hAnsiTheme="majorHAnsi"/>
          <w:sz w:val="26"/>
          <w:szCs w:val="26"/>
          <w:lang w:val="en-GB"/>
        </w:rPr>
        <w:t>.</w:t>
      </w:r>
    </w:p>
    <w:p w:rsidR="008F6F2C" w:rsidRPr="000B019C" w:rsidRDefault="008F6F2C" w:rsidP="00670DB3">
      <w:pPr>
        <w:pStyle w:val="ListParagraph"/>
        <w:tabs>
          <w:tab w:val="center" w:pos="4320"/>
          <w:tab w:val="left" w:pos="6600"/>
        </w:tabs>
        <w:spacing w:before="200" w:after="120" w:line="288" w:lineRule="auto"/>
        <w:contextualSpacing w:val="0"/>
        <w:jc w:val="both"/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  <w:t>5.1 Governance: Policies and Institutions</w:t>
      </w:r>
    </w:p>
    <w:p w:rsidR="001B3BE5" w:rsidRPr="000A0AB8" w:rsidRDefault="002C3272" w:rsidP="00DB691F">
      <w:pPr>
        <w:pStyle w:val="ListParagraph"/>
        <w:numPr>
          <w:ilvl w:val="1"/>
          <w:numId w:val="1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>P</w:t>
      </w:r>
      <w:r w:rsidR="003B448E" w:rsidRPr="000B019C">
        <w:rPr>
          <w:rFonts w:asciiTheme="majorHAnsi" w:hAnsiTheme="majorHAnsi"/>
          <w:b/>
          <w:sz w:val="26"/>
          <w:szCs w:val="26"/>
          <w:lang w:val="en-GB"/>
        </w:rPr>
        <w:t xml:space="preserve">olitical commitment </w:t>
      </w: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to have </w:t>
      </w:r>
      <w:r w:rsidR="003B448E" w:rsidRPr="000B019C">
        <w:rPr>
          <w:rFonts w:asciiTheme="majorHAnsi" w:hAnsiTheme="majorHAnsi"/>
          <w:b/>
          <w:sz w:val="26"/>
          <w:szCs w:val="26"/>
          <w:lang w:val="en-GB"/>
        </w:rPr>
        <w:t xml:space="preserve">suitable policies, laws and institutions </w:t>
      </w:r>
      <w:r w:rsidR="00BD3EB9" w:rsidRPr="000B019C">
        <w:rPr>
          <w:rFonts w:asciiTheme="majorHAnsi" w:hAnsiTheme="majorHAnsi"/>
          <w:b/>
          <w:sz w:val="26"/>
          <w:szCs w:val="26"/>
          <w:lang w:val="en-GB"/>
        </w:rPr>
        <w:t xml:space="preserve">in place </w:t>
      </w: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for </w:t>
      </w:r>
      <w:r w:rsidR="006A401F" w:rsidRPr="000B019C">
        <w:rPr>
          <w:rFonts w:asciiTheme="majorHAnsi" w:hAnsiTheme="majorHAnsi"/>
          <w:b/>
          <w:sz w:val="26"/>
          <w:szCs w:val="26"/>
          <w:lang w:val="en-GB"/>
        </w:rPr>
        <w:t>effective</w:t>
      </w:r>
      <w:r w:rsidR="002509B9" w:rsidRPr="000B019C">
        <w:rPr>
          <w:rFonts w:asciiTheme="majorHAnsi" w:hAnsiTheme="majorHAnsi"/>
          <w:b/>
          <w:sz w:val="26"/>
          <w:szCs w:val="26"/>
          <w:lang w:val="en-GB"/>
        </w:rPr>
        <w:t xml:space="preserve"> disaster risk reduction. </w:t>
      </w:r>
      <w:r w:rsidR="00433293" w:rsidRPr="000B019C">
        <w:rPr>
          <w:rFonts w:asciiTheme="majorHAnsi" w:hAnsiTheme="majorHAnsi"/>
          <w:sz w:val="26"/>
          <w:szCs w:val="26"/>
          <w:lang w:val="en-GB"/>
        </w:rPr>
        <w:t>Existing and new institutions having direct and indirect interfaces with disaster risk reduction should be harmoni</w:t>
      </w:r>
      <w:r w:rsidR="000B019C">
        <w:rPr>
          <w:rFonts w:asciiTheme="majorHAnsi" w:hAnsiTheme="majorHAnsi"/>
          <w:sz w:val="26"/>
          <w:szCs w:val="26"/>
          <w:lang w:val="en-GB"/>
        </w:rPr>
        <w:t>s</w:t>
      </w:r>
      <w:r w:rsidR="00433293" w:rsidRPr="000B019C">
        <w:rPr>
          <w:rFonts w:asciiTheme="majorHAnsi" w:hAnsiTheme="majorHAnsi"/>
          <w:sz w:val="26"/>
          <w:szCs w:val="26"/>
          <w:lang w:val="en-GB"/>
        </w:rPr>
        <w:t>ed</w:t>
      </w:r>
      <w:r w:rsidR="00535073">
        <w:rPr>
          <w:rFonts w:asciiTheme="majorHAnsi" w:hAnsiTheme="majorHAnsi"/>
          <w:sz w:val="26"/>
          <w:szCs w:val="26"/>
          <w:lang w:val="en-GB"/>
        </w:rPr>
        <w:t xml:space="preserve"> for enhancing outreach to higher political agenda. </w:t>
      </w:r>
      <w:r w:rsidR="0037580E">
        <w:rPr>
          <w:rFonts w:asciiTheme="majorHAnsi" w:hAnsiTheme="majorHAnsi"/>
          <w:sz w:val="26"/>
          <w:szCs w:val="26"/>
          <w:lang w:val="en-GB"/>
        </w:rPr>
        <w:t xml:space="preserve">Enacted laws should define clear roles and responsibilities. </w:t>
      </w:r>
      <w:r w:rsidR="003D28B9">
        <w:rPr>
          <w:rFonts w:asciiTheme="majorHAnsi" w:hAnsiTheme="majorHAnsi"/>
          <w:sz w:val="26"/>
          <w:szCs w:val="26"/>
          <w:lang w:val="en-GB"/>
        </w:rPr>
        <w:t>N</w:t>
      </w:r>
      <w:r w:rsidR="00B425D5">
        <w:rPr>
          <w:rFonts w:asciiTheme="majorHAnsi" w:hAnsiTheme="majorHAnsi"/>
          <w:sz w:val="26"/>
          <w:szCs w:val="26"/>
          <w:lang w:val="en-GB"/>
        </w:rPr>
        <w:t>ational</w:t>
      </w:r>
      <w:r w:rsidR="003D28B9" w:rsidRPr="003D28B9">
        <w:rPr>
          <w:rFonts w:asciiTheme="majorHAnsi" w:hAnsiTheme="majorHAnsi"/>
          <w:sz w:val="26"/>
          <w:szCs w:val="26"/>
        </w:rPr>
        <w:t xml:space="preserve"> economic frameworks</w:t>
      </w:r>
      <w:r w:rsidR="003D28B9">
        <w:rPr>
          <w:rFonts w:asciiTheme="majorHAnsi" w:hAnsiTheme="majorHAnsi"/>
          <w:sz w:val="26"/>
          <w:szCs w:val="26"/>
        </w:rPr>
        <w:t xml:space="preserve"> should integrate disaster risk reduction. </w:t>
      </w:r>
    </w:p>
    <w:p w:rsidR="000A0AB8" w:rsidRPr="000A0AB8" w:rsidRDefault="000A0AB8" w:rsidP="000A0AB8">
      <w:pPr>
        <w:pStyle w:val="ListParagraph"/>
        <w:numPr>
          <w:ilvl w:val="1"/>
          <w:numId w:val="1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A0AB8">
        <w:rPr>
          <w:rFonts w:asciiTheme="majorHAnsi" w:hAnsiTheme="majorHAnsi"/>
          <w:b/>
          <w:sz w:val="26"/>
          <w:szCs w:val="26"/>
          <w:lang w:val="en-GB"/>
        </w:rPr>
        <w:t xml:space="preserve">Strengthen </w:t>
      </w:r>
      <w:r w:rsidR="000B37D5">
        <w:rPr>
          <w:rFonts w:asciiTheme="majorHAnsi" w:hAnsiTheme="majorHAnsi"/>
          <w:b/>
          <w:sz w:val="26"/>
          <w:szCs w:val="26"/>
          <w:lang w:val="en-GB"/>
        </w:rPr>
        <w:t xml:space="preserve">coordination through </w:t>
      </w:r>
      <w:r w:rsidR="004240BF">
        <w:rPr>
          <w:rFonts w:asciiTheme="majorHAnsi" w:hAnsiTheme="majorHAnsi"/>
          <w:b/>
          <w:sz w:val="26"/>
          <w:szCs w:val="26"/>
          <w:lang w:val="en-GB"/>
        </w:rPr>
        <w:t xml:space="preserve">regional, </w:t>
      </w:r>
      <w:r w:rsidRPr="000A0AB8">
        <w:rPr>
          <w:rFonts w:asciiTheme="majorHAnsi" w:hAnsiTheme="majorHAnsi"/>
          <w:b/>
          <w:sz w:val="26"/>
          <w:szCs w:val="26"/>
          <w:lang w:val="en-GB"/>
        </w:rPr>
        <w:t xml:space="preserve">national and sub-national DRR platforms for multi-sectorial risk dialogues. </w:t>
      </w:r>
      <w:r w:rsidR="00335C50">
        <w:rPr>
          <w:rFonts w:asciiTheme="majorHAnsi" w:hAnsiTheme="majorHAnsi"/>
          <w:sz w:val="26"/>
          <w:szCs w:val="26"/>
          <w:lang w:val="en-GB"/>
        </w:rPr>
        <w:t xml:space="preserve">Disaster risk reduction platforms should </w:t>
      </w:r>
      <w:r w:rsidR="00D80D35">
        <w:rPr>
          <w:rFonts w:asciiTheme="majorHAnsi" w:hAnsiTheme="majorHAnsi"/>
          <w:sz w:val="26"/>
          <w:szCs w:val="26"/>
          <w:lang w:val="en-GB"/>
        </w:rPr>
        <w:t xml:space="preserve">be backed by adequate policies </w:t>
      </w:r>
      <w:r w:rsidR="00C6066C">
        <w:rPr>
          <w:rFonts w:asciiTheme="majorHAnsi" w:hAnsiTheme="majorHAnsi"/>
          <w:sz w:val="26"/>
          <w:szCs w:val="26"/>
          <w:lang w:val="en-GB"/>
        </w:rPr>
        <w:t>and be as inclusive as possible (including women,</w:t>
      </w:r>
      <w:r w:rsidR="00E4511C">
        <w:rPr>
          <w:rFonts w:asciiTheme="majorHAnsi" w:hAnsiTheme="majorHAnsi"/>
          <w:sz w:val="26"/>
          <w:szCs w:val="26"/>
          <w:lang w:val="en-GB"/>
        </w:rPr>
        <w:t xml:space="preserve"> children,</w:t>
      </w:r>
      <w:r w:rsidR="00C6066C">
        <w:rPr>
          <w:rFonts w:asciiTheme="majorHAnsi" w:hAnsiTheme="majorHAnsi"/>
          <w:sz w:val="26"/>
          <w:szCs w:val="26"/>
          <w:lang w:val="en-GB"/>
        </w:rPr>
        <w:t xml:space="preserve"> youth, civil society). </w:t>
      </w:r>
      <w:r w:rsidR="00967057">
        <w:rPr>
          <w:rFonts w:asciiTheme="majorHAnsi" w:hAnsiTheme="majorHAnsi"/>
          <w:sz w:val="26"/>
          <w:szCs w:val="26"/>
          <w:lang w:val="en-GB"/>
        </w:rPr>
        <w:t>Such platforms should be located at the highest political level to ensure effective multi-sector coordination.</w:t>
      </w:r>
      <w:r w:rsidR="00333AE3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CE7EFC">
        <w:rPr>
          <w:rFonts w:asciiTheme="majorHAnsi" w:hAnsiTheme="majorHAnsi"/>
          <w:sz w:val="26"/>
          <w:szCs w:val="26"/>
          <w:lang w:val="en-GB"/>
        </w:rPr>
        <w:t>I</w:t>
      </w:r>
      <w:r w:rsidR="00333AE3">
        <w:rPr>
          <w:rFonts w:asciiTheme="majorHAnsi" w:hAnsiTheme="majorHAnsi"/>
          <w:sz w:val="26"/>
          <w:szCs w:val="26"/>
          <w:lang w:val="en-GB"/>
        </w:rPr>
        <w:t xml:space="preserve">nter-governmental </w:t>
      </w:r>
      <w:r w:rsidR="00CE7EFC">
        <w:rPr>
          <w:rFonts w:asciiTheme="majorHAnsi" w:hAnsiTheme="majorHAnsi"/>
          <w:sz w:val="26"/>
          <w:szCs w:val="26"/>
          <w:lang w:val="en-GB"/>
        </w:rPr>
        <w:t xml:space="preserve">organisations should enhance coordination among Member States. </w:t>
      </w:r>
      <w:r w:rsidR="00333AE3">
        <w:rPr>
          <w:rFonts w:asciiTheme="majorHAnsi" w:hAnsiTheme="majorHAnsi"/>
          <w:sz w:val="26"/>
          <w:szCs w:val="26"/>
          <w:lang w:val="en-GB"/>
        </w:rPr>
        <w:t xml:space="preserve">  </w:t>
      </w:r>
    </w:p>
    <w:p w:rsidR="003F2BEE" w:rsidRPr="003F2BEE" w:rsidRDefault="003F2BEE" w:rsidP="003F2BEE">
      <w:pPr>
        <w:pStyle w:val="ListParagraph"/>
        <w:numPr>
          <w:ilvl w:val="1"/>
          <w:numId w:val="1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3F2BEE">
        <w:rPr>
          <w:rFonts w:asciiTheme="majorHAnsi" w:hAnsiTheme="majorHAnsi"/>
          <w:b/>
          <w:sz w:val="26"/>
          <w:szCs w:val="26"/>
          <w:lang w:val="en-GB"/>
        </w:rPr>
        <w:lastRenderedPageBreak/>
        <w:t xml:space="preserve">From early warning to early action: </w:t>
      </w:r>
      <w:r w:rsidR="003A1267">
        <w:rPr>
          <w:rFonts w:asciiTheme="majorHAnsi" w:hAnsiTheme="majorHAnsi"/>
          <w:sz w:val="26"/>
          <w:szCs w:val="26"/>
          <w:lang w:val="en-GB"/>
        </w:rPr>
        <w:t xml:space="preserve">Outreach of early warning should be enhanced to community level. </w:t>
      </w:r>
      <w:r w:rsidR="009F139C">
        <w:rPr>
          <w:rFonts w:asciiTheme="majorHAnsi" w:hAnsiTheme="majorHAnsi"/>
          <w:sz w:val="26"/>
          <w:szCs w:val="26"/>
          <w:lang w:val="en-GB"/>
        </w:rPr>
        <w:t xml:space="preserve">Early warning should be time- and culture-sensitive. </w:t>
      </w:r>
      <w:r w:rsidR="008E5BA9">
        <w:rPr>
          <w:rFonts w:asciiTheme="majorHAnsi" w:hAnsiTheme="majorHAnsi"/>
          <w:sz w:val="26"/>
          <w:szCs w:val="26"/>
          <w:lang w:val="en-GB"/>
        </w:rPr>
        <w:t xml:space="preserve">Co-production of early warning information </w:t>
      </w:r>
      <w:r w:rsidR="001312F2">
        <w:rPr>
          <w:rFonts w:asciiTheme="majorHAnsi" w:hAnsiTheme="majorHAnsi"/>
          <w:sz w:val="26"/>
          <w:szCs w:val="26"/>
          <w:lang w:val="en-GB"/>
        </w:rPr>
        <w:t xml:space="preserve">should be promoted between scientific and local communities with a two-way dissemination process. </w:t>
      </w:r>
      <w:r w:rsidR="00E06C57">
        <w:rPr>
          <w:rFonts w:asciiTheme="majorHAnsi" w:hAnsiTheme="majorHAnsi"/>
          <w:sz w:val="26"/>
          <w:szCs w:val="26"/>
          <w:lang w:val="en-GB"/>
        </w:rPr>
        <w:t xml:space="preserve">Risk transfer mechanisms should be </w:t>
      </w:r>
      <w:r w:rsidR="001942DC">
        <w:rPr>
          <w:rFonts w:asciiTheme="majorHAnsi" w:hAnsiTheme="majorHAnsi"/>
          <w:sz w:val="26"/>
          <w:szCs w:val="26"/>
          <w:lang w:val="en-GB"/>
        </w:rPr>
        <w:t xml:space="preserve">strengthened </w:t>
      </w:r>
      <w:r w:rsidR="00CF1DD3">
        <w:rPr>
          <w:rFonts w:asciiTheme="majorHAnsi" w:hAnsiTheme="majorHAnsi"/>
          <w:sz w:val="26"/>
          <w:szCs w:val="26"/>
          <w:lang w:val="en-GB"/>
        </w:rPr>
        <w:t xml:space="preserve">as an effective tool for risk reduction. </w:t>
      </w:r>
    </w:p>
    <w:p w:rsidR="001B3BE5" w:rsidRPr="0026633F" w:rsidRDefault="00834F02" w:rsidP="0026633F">
      <w:pPr>
        <w:pStyle w:val="ListParagraph"/>
        <w:numPr>
          <w:ilvl w:val="1"/>
          <w:numId w:val="1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GB"/>
        </w:rPr>
        <w:t>C</w:t>
      </w:r>
      <w:r w:rsidR="003B448E" w:rsidRPr="006B1516">
        <w:rPr>
          <w:rFonts w:asciiTheme="majorHAnsi" w:hAnsiTheme="majorHAnsi"/>
          <w:b/>
          <w:sz w:val="26"/>
          <w:szCs w:val="26"/>
          <w:lang w:val="en-GB"/>
        </w:rPr>
        <w:t xml:space="preserve">apacity development </w:t>
      </w:r>
      <w:r w:rsidR="00B272DD">
        <w:rPr>
          <w:rFonts w:asciiTheme="majorHAnsi" w:hAnsiTheme="majorHAnsi"/>
          <w:b/>
          <w:sz w:val="26"/>
          <w:szCs w:val="26"/>
          <w:lang w:val="en-GB"/>
        </w:rPr>
        <w:t xml:space="preserve">at all levels. </w:t>
      </w:r>
      <w:r w:rsidR="00D060D7">
        <w:rPr>
          <w:rFonts w:asciiTheme="majorHAnsi" w:hAnsiTheme="majorHAnsi"/>
          <w:sz w:val="26"/>
          <w:szCs w:val="26"/>
          <w:lang w:val="en-GB"/>
        </w:rPr>
        <w:t xml:space="preserve">Government and stakeholder capacity should be enhanced to act early and effectively. </w:t>
      </w:r>
      <w:r w:rsidR="00C34D5C" w:rsidRPr="00C34D5C">
        <w:rPr>
          <w:rFonts w:asciiTheme="majorHAnsi" w:hAnsiTheme="majorHAnsi"/>
          <w:sz w:val="26"/>
          <w:szCs w:val="26"/>
          <w:lang w:val="en-GB"/>
        </w:rPr>
        <w:t xml:space="preserve">Change in behaviour and attitude </w:t>
      </w:r>
      <w:r w:rsidR="00D060D7">
        <w:rPr>
          <w:rFonts w:asciiTheme="majorHAnsi" w:hAnsiTheme="majorHAnsi"/>
          <w:sz w:val="26"/>
          <w:szCs w:val="26"/>
          <w:lang w:val="en-GB"/>
        </w:rPr>
        <w:t>should be promoted</w:t>
      </w:r>
      <w:r w:rsidR="005C1116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E3771C">
        <w:rPr>
          <w:rFonts w:asciiTheme="majorHAnsi" w:hAnsiTheme="majorHAnsi"/>
          <w:sz w:val="26"/>
          <w:szCs w:val="26"/>
          <w:lang w:val="en-GB"/>
        </w:rPr>
        <w:t>for</w:t>
      </w:r>
      <w:r w:rsidR="005C1116">
        <w:rPr>
          <w:rFonts w:asciiTheme="majorHAnsi" w:hAnsiTheme="majorHAnsi"/>
          <w:sz w:val="26"/>
          <w:szCs w:val="26"/>
          <w:lang w:val="en-GB"/>
        </w:rPr>
        <w:t xml:space="preserve"> capacity development at local level.</w:t>
      </w:r>
      <w:r w:rsidR="0026633F">
        <w:rPr>
          <w:rFonts w:asciiTheme="majorHAnsi" w:hAnsiTheme="majorHAnsi"/>
          <w:sz w:val="26"/>
          <w:szCs w:val="26"/>
          <w:lang w:val="en-GB"/>
        </w:rPr>
        <w:t xml:space="preserve"> Inter-Governmental </w:t>
      </w:r>
      <w:r w:rsidR="004F4F91">
        <w:rPr>
          <w:rFonts w:asciiTheme="majorHAnsi" w:hAnsiTheme="majorHAnsi"/>
          <w:sz w:val="26"/>
          <w:szCs w:val="26"/>
          <w:lang w:val="en-GB"/>
        </w:rPr>
        <w:t>Organisations</w:t>
      </w:r>
      <w:r w:rsidR="0026633F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3B448E" w:rsidRPr="0026633F">
        <w:rPr>
          <w:rFonts w:asciiTheme="majorHAnsi" w:hAnsiTheme="majorHAnsi"/>
          <w:sz w:val="26"/>
          <w:szCs w:val="26"/>
          <w:lang w:val="en-GB"/>
        </w:rPr>
        <w:t>should enhance role as regional leaders</w:t>
      </w:r>
      <w:r w:rsidR="0026633F">
        <w:rPr>
          <w:rFonts w:asciiTheme="majorHAnsi" w:hAnsiTheme="majorHAnsi"/>
          <w:sz w:val="26"/>
          <w:szCs w:val="26"/>
          <w:lang w:val="en-GB"/>
        </w:rPr>
        <w:t xml:space="preserve"> and</w:t>
      </w:r>
      <w:r w:rsidR="003B448E" w:rsidRPr="0026633F">
        <w:rPr>
          <w:rFonts w:asciiTheme="majorHAnsi" w:hAnsiTheme="majorHAnsi"/>
          <w:sz w:val="26"/>
          <w:szCs w:val="26"/>
          <w:lang w:val="en-GB"/>
        </w:rPr>
        <w:t xml:space="preserve"> provide capacity enhancement of member states.</w:t>
      </w:r>
      <w:r w:rsidR="003B448E" w:rsidRPr="0026633F">
        <w:rPr>
          <w:rFonts w:asciiTheme="majorHAnsi" w:hAnsiTheme="majorHAnsi"/>
          <w:sz w:val="26"/>
          <w:szCs w:val="26"/>
        </w:rPr>
        <w:t xml:space="preserve"> </w:t>
      </w:r>
    </w:p>
    <w:p w:rsidR="001B3BE5" w:rsidRPr="000B019C" w:rsidRDefault="00925D59" w:rsidP="00DB691F">
      <w:pPr>
        <w:pStyle w:val="ListParagraph"/>
        <w:numPr>
          <w:ilvl w:val="1"/>
          <w:numId w:val="1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B60635">
        <w:rPr>
          <w:rFonts w:asciiTheme="majorHAnsi" w:hAnsiTheme="majorHAnsi"/>
          <w:b/>
          <w:sz w:val="26"/>
          <w:szCs w:val="26"/>
          <w:lang w:val="en-GB"/>
        </w:rPr>
        <w:t>Enhance investment in disaster risk</w:t>
      </w:r>
      <w:r w:rsidR="003B448E" w:rsidRPr="00B60635">
        <w:rPr>
          <w:rFonts w:asciiTheme="majorHAnsi" w:hAnsiTheme="majorHAnsi"/>
          <w:b/>
          <w:sz w:val="26"/>
          <w:szCs w:val="26"/>
          <w:lang w:val="en-GB"/>
        </w:rPr>
        <w:t>: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 xml:space="preserve"> Enhanced proportionate funding for </w:t>
      </w:r>
      <w:r w:rsidR="004D1559">
        <w:rPr>
          <w:rFonts w:asciiTheme="majorHAnsi" w:hAnsiTheme="majorHAnsi"/>
          <w:sz w:val="26"/>
          <w:szCs w:val="26"/>
          <w:lang w:val="en-GB"/>
        </w:rPr>
        <w:t xml:space="preserve">disaster risk reduction </w:t>
      </w:r>
      <w:r w:rsidR="003B448E" w:rsidRPr="000B019C">
        <w:rPr>
          <w:rFonts w:asciiTheme="majorHAnsi" w:hAnsiTheme="majorHAnsi"/>
          <w:sz w:val="26"/>
          <w:szCs w:val="26"/>
          <w:lang w:val="en-GB"/>
        </w:rPr>
        <w:t>(including contingency funds) and strengthened human resources – particularly for local governments</w:t>
      </w:r>
      <w:r w:rsidR="00693E7E">
        <w:rPr>
          <w:rFonts w:asciiTheme="majorHAnsi" w:hAnsiTheme="majorHAnsi"/>
          <w:sz w:val="26"/>
          <w:szCs w:val="26"/>
          <w:lang w:val="en-GB"/>
        </w:rPr>
        <w:t xml:space="preserve">, is essential for effective capacity development. </w:t>
      </w:r>
      <w:r w:rsidR="000670CF">
        <w:rPr>
          <w:rFonts w:asciiTheme="majorHAnsi" w:hAnsiTheme="majorHAnsi"/>
          <w:sz w:val="26"/>
          <w:szCs w:val="26"/>
          <w:lang w:val="en-GB"/>
        </w:rPr>
        <w:t xml:space="preserve">Governments should allocate a </w:t>
      </w:r>
      <w:r w:rsidR="001845A9">
        <w:rPr>
          <w:rFonts w:asciiTheme="majorHAnsi" w:hAnsiTheme="majorHAnsi"/>
          <w:sz w:val="26"/>
          <w:szCs w:val="26"/>
          <w:lang w:val="en-GB"/>
        </w:rPr>
        <w:t xml:space="preserve">specific </w:t>
      </w:r>
      <w:r w:rsidR="000670CF">
        <w:rPr>
          <w:rFonts w:asciiTheme="majorHAnsi" w:hAnsiTheme="majorHAnsi"/>
          <w:sz w:val="26"/>
          <w:szCs w:val="26"/>
          <w:lang w:val="en-GB"/>
        </w:rPr>
        <w:t xml:space="preserve">proportion of development </w:t>
      </w:r>
      <w:r w:rsidR="00884E8B">
        <w:rPr>
          <w:rFonts w:asciiTheme="majorHAnsi" w:hAnsiTheme="majorHAnsi"/>
          <w:sz w:val="26"/>
          <w:szCs w:val="26"/>
        </w:rPr>
        <w:t xml:space="preserve">budgetary </w:t>
      </w:r>
      <w:r w:rsidR="00884E8B" w:rsidRPr="00884E8B">
        <w:rPr>
          <w:rFonts w:asciiTheme="majorHAnsi" w:hAnsiTheme="majorHAnsi"/>
          <w:sz w:val="26"/>
          <w:szCs w:val="26"/>
        </w:rPr>
        <w:t xml:space="preserve">allocation for </w:t>
      </w:r>
      <w:r w:rsidR="008A3FD6">
        <w:rPr>
          <w:rFonts w:asciiTheme="majorHAnsi" w:hAnsiTheme="majorHAnsi"/>
          <w:sz w:val="26"/>
          <w:szCs w:val="26"/>
        </w:rPr>
        <w:t>disaster risk reduction</w:t>
      </w:r>
      <w:r w:rsidR="00B93B4E">
        <w:rPr>
          <w:rFonts w:asciiTheme="majorHAnsi" w:hAnsiTheme="majorHAnsi"/>
          <w:sz w:val="26"/>
          <w:szCs w:val="26"/>
        </w:rPr>
        <w:t>.</w:t>
      </w:r>
      <w:r w:rsidR="008A3FD6">
        <w:rPr>
          <w:rFonts w:asciiTheme="majorHAnsi" w:hAnsiTheme="majorHAnsi"/>
          <w:sz w:val="26"/>
          <w:szCs w:val="26"/>
        </w:rPr>
        <w:t xml:space="preserve"> </w:t>
      </w:r>
    </w:p>
    <w:p w:rsidR="00A6714C" w:rsidRDefault="000E14EE" w:rsidP="0008420D">
      <w:pPr>
        <w:pStyle w:val="ListParagraph"/>
        <w:numPr>
          <w:ilvl w:val="1"/>
          <w:numId w:val="1"/>
        </w:numPr>
        <w:spacing w:after="6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A6714C">
        <w:rPr>
          <w:rFonts w:asciiTheme="majorHAnsi" w:hAnsiTheme="majorHAnsi"/>
          <w:b/>
          <w:sz w:val="26"/>
          <w:szCs w:val="26"/>
          <w:lang w:val="en-GB"/>
        </w:rPr>
        <w:t>Enhance a</w:t>
      </w:r>
      <w:r w:rsidR="003B448E" w:rsidRPr="00A6714C">
        <w:rPr>
          <w:rFonts w:asciiTheme="majorHAnsi" w:hAnsiTheme="majorHAnsi"/>
          <w:b/>
          <w:sz w:val="26"/>
          <w:szCs w:val="26"/>
          <w:lang w:val="en-GB"/>
        </w:rPr>
        <w:t>ccountability:</w:t>
      </w:r>
      <w:r w:rsidR="006F34A0" w:rsidRPr="00A6714C">
        <w:rPr>
          <w:rFonts w:asciiTheme="majorHAnsi" w:hAnsiTheme="majorHAnsi"/>
          <w:sz w:val="26"/>
          <w:szCs w:val="26"/>
          <w:lang w:val="en-GB"/>
        </w:rPr>
        <w:t xml:space="preserve"> There is a need to develop </w:t>
      </w:r>
      <w:r w:rsidR="00EF4680">
        <w:rPr>
          <w:rFonts w:asciiTheme="majorHAnsi" w:hAnsiTheme="majorHAnsi"/>
          <w:sz w:val="26"/>
          <w:szCs w:val="26"/>
          <w:lang w:val="en-GB"/>
        </w:rPr>
        <w:t xml:space="preserve">monitoring and evaluation framework and </w:t>
      </w:r>
      <w:r w:rsidR="006F34A0" w:rsidRPr="00A6714C">
        <w:rPr>
          <w:rFonts w:asciiTheme="majorHAnsi" w:hAnsiTheme="majorHAnsi"/>
          <w:sz w:val="26"/>
          <w:szCs w:val="26"/>
          <w:lang w:val="en-GB"/>
        </w:rPr>
        <w:t xml:space="preserve">baseline information and indicators to enable progress measurement. </w:t>
      </w:r>
      <w:r w:rsidR="00130A6F" w:rsidRPr="00A6714C">
        <w:rPr>
          <w:rFonts w:asciiTheme="majorHAnsi" w:hAnsiTheme="majorHAnsi"/>
          <w:sz w:val="26"/>
          <w:szCs w:val="26"/>
          <w:lang w:val="en-GB"/>
        </w:rPr>
        <w:t>Voluntary p</w:t>
      </w:r>
      <w:r w:rsidR="0057020D" w:rsidRPr="00A6714C">
        <w:rPr>
          <w:rFonts w:asciiTheme="majorHAnsi" w:hAnsiTheme="majorHAnsi"/>
          <w:sz w:val="26"/>
          <w:szCs w:val="26"/>
          <w:lang w:val="en-GB"/>
        </w:rPr>
        <w:t xml:space="preserve">eer review mechanism should be encouraged at regional and sub-regional level for effective performance measurement. </w:t>
      </w:r>
    </w:p>
    <w:p w:rsidR="00A6714C" w:rsidRPr="00A6714C" w:rsidRDefault="00A6714C" w:rsidP="00CB560B">
      <w:pPr>
        <w:pStyle w:val="ListParagraph"/>
        <w:spacing w:after="60" w:line="288" w:lineRule="auto"/>
        <w:ind w:left="1440"/>
        <w:contextualSpacing w:val="0"/>
        <w:jc w:val="both"/>
        <w:rPr>
          <w:rFonts w:asciiTheme="majorHAnsi" w:hAnsiTheme="majorHAnsi"/>
          <w:sz w:val="16"/>
          <w:szCs w:val="26"/>
          <w:lang w:val="en-GB"/>
        </w:rPr>
      </w:pPr>
    </w:p>
    <w:p w:rsidR="00E31A59" w:rsidRPr="000B019C" w:rsidRDefault="00E31A59" w:rsidP="00E31A59">
      <w:pPr>
        <w:pStyle w:val="ListParagraph"/>
        <w:tabs>
          <w:tab w:val="center" w:pos="4320"/>
          <w:tab w:val="left" w:pos="6600"/>
        </w:tabs>
        <w:spacing w:before="200" w:after="120" w:line="288" w:lineRule="auto"/>
        <w:contextualSpacing w:val="0"/>
        <w:jc w:val="both"/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  <w:t xml:space="preserve">5.2 Risk Information </w:t>
      </w:r>
    </w:p>
    <w:p w:rsidR="001B3BE5" w:rsidRPr="000B019C" w:rsidRDefault="003B448E" w:rsidP="0009775B">
      <w:pPr>
        <w:pStyle w:val="ListParagraph"/>
        <w:numPr>
          <w:ilvl w:val="0"/>
          <w:numId w:val="15"/>
        </w:numPr>
        <w:tabs>
          <w:tab w:val="center" w:pos="4320"/>
          <w:tab w:val="left" w:pos="6600"/>
        </w:tabs>
        <w:spacing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>Disaster risk and climate information integration for comprehensive risk analyses an</w:t>
      </w:r>
      <w:r w:rsidR="00DB5779" w:rsidRPr="000B019C">
        <w:rPr>
          <w:rFonts w:asciiTheme="majorHAnsi" w:hAnsiTheme="majorHAnsi"/>
          <w:b/>
          <w:sz w:val="26"/>
          <w:szCs w:val="26"/>
          <w:lang w:val="en-GB"/>
        </w:rPr>
        <w:t xml:space="preserve">d community-based early warning. </w:t>
      </w:r>
      <w:r w:rsidR="00D63F1A" w:rsidRPr="000B019C">
        <w:rPr>
          <w:rFonts w:asciiTheme="majorHAnsi" w:hAnsiTheme="majorHAnsi"/>
          <w:sz w:val="26"/>
          <w:szCs w:val="26"/>
          <w:lang w:val="en-GB"/>
        </w:rPr>
        <w:t>Funding mechanisms need to be aligned and information be made relevant for community-level understanding</w:t>
      </w:r>
      <w:r w:rsidR="00EE759B" w:rsidRPr="000B019C">
        <w:rPr>
          <w:rFonts w:asciiTheme="majorHAnsi" w:hAnsiTheme="majorHAnsi"/>
          <w:sz w:val="26"/>
          <w:szCs w:val="26"/>
          <w:lang w:val="en-GB"/>
        </w:rPr>
        <w:t>, including through community capacity building and identification of community champions</w:t>
      </w:r>
      <w:r w:rsidR="00D63F1A"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  <w:r w:rsidR="007B05B0" w:rsidRPr="000B019C">
        <w:rPr>
          <w:rFonts w:asciiTheme="majorHAnsi" w:hAnsiTheme="majorHAnsi"/>
          <w:sz w:val="26"/>
          <w:szCs w:val="26"/>
          <w:lang w:val="en-GB"/>
        </w:rPr>
        <w:t xml:space="preserve">Disaggregation of information by gender and age is essential to address specific vulnerabilities. </w:t>
      </w:r>
    </w:p>
    <w:p w:rsidR="001B3BE5" w:rsidRPr="000B019C" w:rsidRDefault="003B448E" w:rsidP="0009775B">
      <w:pPr>
        <w:pStyle w:val="ListParagraph"/>
        <w:numPr>
          <w:ilvl w:val="0"/>
          <w:numId w:val="15"/>
        </w:numPr>
        <w:tabs>
          <w:tab w:val="center" w:pos="4320"/>
          <w:tab w:val="left" w:pos="6600"/>
        </w:tabs>
        <w:spacing w:after="12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lastRenderedPageBreak/>
        <w:t>Integrate traditional and scientific information, science and local knowledge</w:t>
      </w:r>
      <w:r w:rsidR="009F4076" w:rsidRPr="000B019C">
        <w:rPr>
          <w:rFonts w:asciiTheme="majorHAnsi" w:hAnsiTheme="majorHAnsi"/>
          <w:b/>
          <w:sz w:val="26"/>
          <w:szCs w:val="26"/>
          <w:lang w:val="en-GB"/>
        </w:rPr>
        <w:t xml:space="preserve">. </w:t>
      </w:r>
      <w:r w:rsidR="009D4479" w:rsidRPr="000B019C">
        <w:rPr>
          <w:rFonts w:asciiTheme="majorHAnsi" w:hAnsiTheme="majorHAnsi"/>
          <w:sz w:val="26"/>
          <w:szCs w:val="26"/>
          <w:lang w:val="en-GB"/>
        </w:rPr>
        <w:t xml:space="preserve">Documentation of community knowledge and its validation through the lens of science is vital for integration. </w:t>
      </w:r>
      <w:r w:rsidR="00DB3409" w:rsidRPr="000B019C">
        <w:rPr>
          <w:rFonts w:asciiTheme="majorHAnsi" w:hAnsiTheme="majorHAnsi"/>
          <w:sz w:val="26"/>
          <w:szCs w:val="26"/>
          <w:lang w:val="en-GB"/>
        </w:rPr>
        <w:t xml:space="preserve">Local and traditional institutions </w:t>
      </w:r>
      <w:r w:rsidR="008662C8" w:rsidRPr="000B019C">
        <w:rPr>
          <w:rFonts w:asciiTheme="majorHAnsi" w:hAnsiTheme="majorHAnsi"/>
          <w:sz w:val="26"/>
          <w:szCs w:val="26"/>
          <w:lang w:val="en-GB"/>
        </w:rPr>
        <w:t>should be leveraged</w:t>
      </w:r>
      <w:r w:rsidR="0034666F" w:rsidRPr="000B019C">
        <w:rPr>
          <w:rFonts w:asciiTheme="majorHAnsi" w:hAnsiTheme="majorHAnsi"/>
          <w:sz w:val="26"/>
          <w:szCs w:val="26"/>
          <w:lang w:val="en-GB"/>
        </w:rPr>
        <w:t xml:space="preserve"> for effective integration and information dissemination. </w:t>
      </w:r>
    </w:p>
    <w:p w:rsidR="001B3BE5" w:rsidRPr="000B019C" w:rsidRDefault="003B448E" w:rsidP="0009775B">
      <w:pPr>
        <w:pStyle w:val="ListParagraph"/>
        <w:numPr>
          <w:ilvl w:val="0"/>
          <w:numId w:val="15"/>
        </w:numPr>
        <w:tabs>
          <w:tab w:val="center" w:pos="4320"/>
          <w:tab w:val="left" w:pos="6600"/>
        </w:tabs>
        <w:spacing w:after="12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>Economic loss analyses for develop</w:t>
      </w:r>
      <w:r w:rsidR="00B7282D" w:rsidRPr="000B019C">
        <w:rPr>
          <w:rFonts w:asciiTheme="majorHAnsi" w:hAnsiTheme="majorHAnsi"/>
          <w:b/>
          <w:sz w:val="26"/>
          <w:szCs w:val="26"/>
          <w:lang w:val="en-GB"/>
        </w:rPr>
        <w:t xml:space="preserve">ment planning and investments. </w:t>
      </w:r>
      <w:r w:rsidR="000D3AC3" w:rsidRPr="000B019C">
        <w:rPr>
          <w:rFonts w:asciiTheme="majorHAnsi" w:hAnsiTheme="majorHAnsi"/>
          <w:sz w:val="26"/>
          <w:szCs w:val="26"/>
          <w:lang w:val="en-GB"/>
        </w:rPr>
        <w:t xml:space="preserve">Quantification of risk and disaster losses </w:t>
      </w:r>
      <w:r w:rsidR="00820E3E" w:rsidRPr="000B019C">
        <w:rPr>
          <w:rFonts w:asciiTheme="majorHAnsi" w:hAnsiTheme="majorHAnsi"/>
          <w:sz w:val="26"/>
          <w:szCs w:val="26"/>
          <w:lang w:val="en-GB"/>
        </w:rPr>
        <w:t xml:space="preserve">is essential for designing future risk reduction and development strategies. </w:t>
      </w:r>
      <w:r w:rsidR="00417DD5" w:rsidRPr="000B019C">
        <w:rPr>
          <w:rFonts w:asciiTheme="majorHAnsi" w:hAnsiTheme="majorHAnsi"/>
          <w:sz w:val="26"/>
          <w:szCs w:val="26"/>
          <w:lang w:val="en-GB"/>
        </w:rPr>
        <w:t xml:space="preserve">Cost benefit </w:t>
      </w:r>
      <w:r w:rsidR="00E91E80" w:rsidRPr="000B019C">
        <w:rPr>
          <w:rFonts w:asciiTheme="majorHAnsi" w:hAnsiTheme="majorHAnsi"/>
          <w:sz w:val="26"/>
          <w:szCs w:val="26"/>
          <w:lang w:val="en-GB"/>
        </w:rPr>
        <w:t xml:space="preserve">and economic loss analyses should be leveraged to </w:t>
      </w:r>
      <w:r w:rsidR="00E32515" w:rsidRPr="000B019C">
        <w:rPr>
          <w:rFonts w:asciiTheme="majorHAnsi" w:hAnsiTheme="majorHAnsi"/>
          <w:sz w:val="26"/>
          <w:szCs w:val="26"/>
          <w:lang w:val="en-GB"/>
        </w:rPr>
        <w:t xml:space="preserve">enhance political commitment </w:t>
      </w:r>
      <w:r w:rsidR="001531DB" w:rsidRPr="000B019C">
        <w:rPr>
          <w:rFonts w:asciiTheme="majorHAnsi" w:hAnsiTheme="majorHAnsi"/>
          <w:sz w:val="26"/>
          <w:szCs w:val="26"/>
          <w:lang w:val="en-GB"/>
        </w:rPr>
        <w:t>and influence strategic</w:t>
      </w:r>
      <w:r w:rsidR="00C74CE8" w:rsidRPr="000B019C">
        <w:rPr>
          <w:rFonts w:asciiTheme="majorHAnsi" w:hAnsiTheme="majorHAnsi"/>
          <w:sz w:val="26"/>
          <w:szCs w:val="26"/>
          <w:lang w:val="en-GB"/>
        </w:rPr>
        <w:t xml:space="preserve"> and macro-economic </w:t>
      </w:r>
      <w:r w:rsidR="00FB2F51" w:rsidRPr="000B019C">
        <w:rPr>
          <w:rFonts w:asciiTheme="majorHAnsi" w:hAnsiTheme="majorHAnsi"/>
          <w:sz w:val="26"/>
          <w:szCs w:val="26"/>
          <w:lang w:val="en-GB"/>
        </w:rPr>
        <w:t xml:space="preserve">development </w:t>
      </w:r>
      <w:r w:rsidR="001531DB" w:rsidRPr="000B019C">
        <w:rPr>
          <w:rFonts w:asciiTheme="majorHAnsi" w:hAnsiTheme="majorHAnsi"/>
          <w:sz w:val="26"/>
          <w:szCs w:val="26"/>
          <w:lang w:val="en-GB"/>
        </w:rPr>
        <w:t xml:space="preserve">planning. </w:t>
      </w:r>
    </w:p>
    <w:p w:rsidR="001B3BE5" w:rsidRDefault="003B448E" w:rsidP="00207942">
      <w:pPr>
        <w:pStyle w:val="ListParagraph"/>
        <w:numPr>
          <w:ilvl w:val="0"/>
          <w:numId w:val="15"/>
        </w:numPr>
        <w:spacing w:after="12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Information management and </w:t>
      </w:r>
      <w:r w:rsidR="003B398D" w:rsidRPr="000B019C">
        <w:rPr>
          <w:rFonts w:asciiTheme="majorHAnsi" w:hAnsiTheme="majorHAnsi"/>
          <w:b/>
          <w:sz w:val="26"/>
          <w:szCs w:val="26"/>
          <w:lang w:val="en-GB"/>
        </w:rPr>
        <w:t xml:space="preserve">dissemination </w:t>
      </w: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for effective </w:t>
      </w:r>
      <w:r w:rsidR="003B398D" w:rsidRPr="000B019C">
        <w:rPr>
          <w:rFonts w:asciiTheme="majorHAnsi" w:hAnsiTheme="majorHAnsi"/>
          <w:b/>
          <w:sz w:val="26"/>
          <w:szCs w:val="26"/>
          <w:lang w:val="en-GB"/>
        </w:rPr>
        <w:t>communication</w:t>
      </w:r>
      <w:r w:rsidR="003D698A" w:rsidRPr="000B019C">
        <w:rPr>
          <w:rFonts w:asciiTheme="majorHAnsi" w:hAnsiTheme="majorHAnsi"/>
          <w:b/>
          <w:sz w:val="26"/>
          <w:szCs w:val="26"/>
          <w:lang w:val="en-GB"/>
        </w:rPr>
        <w:t xml:space="preserve">.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744F59" w:rsidRPr="000B019C">
        <w:rPr>
          <w:rFonts w:asciiTheme="majorHAnsi" w:hAnsiTheme="majorHAnsi"/>
          <w:sz w:val="26"/>
          <w:szCs w:val="26"/>
          <w:lang w:val="en-GB"/>
        </w:rPr>
        <w:t xml:space="preserve">Communication strategies and protocols should be developed for effective communication and early warning. </w:t>
      </w:r>
      <w:r w:rsidR="00CD5156" w:rsidRPr="000B019C">
        <w:rPr>
          <w:rFonts w:asciiTheme="majorHAnsi" w:hAnsiTheme="majorHAnsi"/>
          <w:sz w:val="26"/>
          <w:szCs w:val="26"/>
          <w:lang w:val="en-GB"/>
        </w:rPr>
        <w:t xml:space="preserve">Appropriate stakeholder environment should be built and </w:t>
      </w:r>
      <w:r w:rsidRPr="000B019C">
        <w:rPr>
          <w:rFonts w:asciiTheme="majorHAnsi" w:hAnsiTheme="majorHAnsi"/>
          <w:sz w:val="26"/>
          <w:szCs w:val="26"/>
          <w:lang w:val="en-GB"/>
        </w:rPr>
        <w:t xml:space="preserve">media </w:t>
      </w:r>
      <w:r w:rsidR="00DC068B" w:rsidRPr="000B019C">
        <w:rPr>
          <w:rFonts w:asciiTheme="majorHAnsi" w:hAnsiTheme="majorHAnsi"/>
          <w:sz w:val="26"/>
          <w:szCs w:val="26"/>
          <w:lang w:val="en-GB"/>
        </w:rPr>
        <w:t xml:space="preserve">should be </w:t>
      </w:r>
      <w:r w:rsidR="00082D21" w:rsidRPr="000B019C">
        <w:rPr>
          <w:rFonts w:asciiTheme="majorHAnsi" w:hAnsiTheme="majorHAnsi"/>
          <w:sz w:val="26"/>
          <w:szCs w:val="26"/>
          <w:lang w:val="en-GB"/>
        </w:rPr>
        <w:t xml:space="preserve">actively </w:t>
      </w:r>
      <w:r w:rsidR="00DC068B" w:rsidRPr="000B019C">
        <w:rPr>
          <w:rFonts w:asciiTheme="majorHAnsi" w:hAnsiTheme="majorHAnsi"/>
          <w:sz w:val="26"/>
          <w:szCs w:val="26"/>
          <w:lang w:val="en-GB"/>
        </w:rPr>
        <w:t xml:space="preserve">engaged. </w:t>
      </w:r>
      <w:r w:rsidR="00FE39EA" w:rsidRPr="000B019C">
        <w:rPr>
          <w:rFonts w:asciiTheme="majorHAnsi" w:hAnsiTheme="majorHAnsi"/>
          <w:sz w:val="26"/>
          <w:szCs w:val="26"/>
          <w:lang w:val="en-GB"/>
        </w:rPr>
        <w:t xml:space="preserve">Information should be simple, practical and </w:t>
      </w:r>
      <w:r w:rsidR="0048107C" w:rsidRPr="000B019C">
        <w:rPr>
          <w:rFonts w:asciiTheme="majorHAnsi" w:hAnsiTheme="majorHAnsi"/>
          <w:sz w:val="26"/>
          <w:szCs w:val="26"/>
          <w:lang w:val="en-GB"/>
        </w:rPr>
        <w:t xml:space="preserve">comprehendible to bridge the gap between technical understanding and political commitment. </w:t>
      </w:r>
      <w:r w:rsidR="00693456" w:rsidRPr="000B019C">
        <w:rPr>
          <w:rFonts w:asciiTheme="majorHAnsi" w:hAnsiTheme="majorHAnsi"/>
          <w:sz w:val="26"/>
          <w:szCs w:val="26"/>
          <w:lang w:val="en-GB"/>
        </w:rPr>
        <w:t>Information should be tailored to stakeholder needs</w:t>
      </w:r>
      <w:r w:rsidR="00B25A38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D21CB1" w:rsidRPr="000B019C">
        <w:rPr>
          <w:rFonts w:asciiTheme="majorHAnsi" w:hAnsiTheme="majorHAnsi"/>
          <w:sz w:val="26"/>
          <w:szCs w:val="26"/>
          <w:lang w:val="en-GB"/>
        </w:rPr>
        <w:t xml:space="preserve">taking into account specific vulnerabilities. </w:t>
      </w:r>
    </w:p>
    <w:p w:rsidR="0085135E" w:rsidRPr="000B019C" w:rsidRDefault="0085135E" w:rsidP="00F14ABE">
      <w:pPr>
        <w:pStyle w:val="ListParagraph"/>
        <w:spacing w:before="200" w:after="120" w:line="288" w:lineRule="auto"/>
        <w:contextualSpacing w:val="0"/>
        <w:jc w:val="both"/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  <w:t xml:space="preserve">5.3 Disaster Risk Reduction </w:t>
      </w:r>
      <w:r w:rsidR="00877E8D" w:rsidRPr="000B019C"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  <w:lang w:val="en-GB"/>
        </w:rPr>
        <w:t>Integration</w:t>
      </w:r>
    </w:p>
    <w:p w:rsidR="003E21C7" w:rsidRPr="000B019C" w:rsidRDefault="00BD1E2B" w:rsidP="003E21C7">
      <w:pPr>
        <w:pStyle w:val="ListParagraph"/>
        <w:numPr>
          <w:ilvl w:val="0"/>
          <w:numId w:val="17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Integrated approaches for </w:t>
      </w:r>
      <w:r w:rsidR="00541954" w:rsidRPr="000B019C">
        <w:rPr>
          <w:rFonts w:asciiTheme="majorHAnsi" w:hAnsiTheme="majorHAnsi"/>
          <w:b/>
          <w:sz w:val="26"/>
          <w:szCs w:val="26"/>
          <w:lang w:val="en-GB"/>
        </w:rPr>
        <w:t xml:space="preserve">community </w:t>
      </w:r>
      <w:r w:rsidRPr="000B019C">
        <w:rPr>
          <w:rFonts w:asciiTheme="majorHAnsi" w:hAnsiTheme="majorHAnsi"/>
          <w:b/>
          <w:sz w:val="26"/>
          <w:szCs w:val="26"/>
          <w:lang w:val="en-GB"/>
        </w:rPr>
        <w:t>resilience</w:t>
      </w:r>
      <w:r w:rsidR="00017106" w:rsidRPr="000B019C">
        <w:rPr>
          <w:rFonts w:asciiTheme="majorHAnsi" w:hAnsiTheme="majorHAnsi"/>
          <w:b/>
          <w:sz w:val="26"/>
          <w:szCs w:val="26"/>
          <w:lang w:val="en-GB"/>
        </w:rPr>
        <w:t xml:space="preserve">. </w:t>
      </w:r>
      <w:r w:rsidR="000C133F" w:rsidRPr="000B019C">
        <w:rPr>
          <w:rFonts w:asciiTheme="majorHAnsi" w:hAnsiTheme="majorHAnsi"/>
          <w:sz w:val="26"/>
          <w:szCs w:val="26"/>
          <w:lang w:val="en-GB"/>
        </w:rPr>
        <w:t xml:space="preserve">Renewed focus should be given on managing risks rather than managing disasters. </w:t>
      </w:r>
      <w:r w:rsidR="000B20AC" w:rsidRPr="000B019C">
        <w:rPr>
          <w:rFonts w:asciiTheme="majorHAnsi" w:hAnsiTheme="majorHAnsi"/>
          <w:sz w:val="26"/>
          <w:szCs w:val="26"/>
          <w:lang w:val="en-GB"/>
        </w:rPr>
        <w:t>Good practices</w:t>
      </w:r>
      <w:r w:rsidR="00FB4485" w:rsidRPr="000B019C">
        <w:rPr>
          <w:rFonts w:asciiTheme="majorHAnsi" w:hAnsiTheme="majorHAnsi"/>
          <w:sz w:val="26"/>
          <w:szCs w:val="26"/>
          <w:lang w:val="en-GB"/>
        </w:rPr>
        <w:t>,</w:t>
      </w:r>
      <w:r w:rsidR="000B20AC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EB4843" w:rsidRPr="000B019C">
        <w:rPr>
          <w:rFonts w:asciiTheme="majorHAnsi" w:hAnsiTheme="majorHAnsi"/>
          <w:sz w:val="26"/>
          <w:szCs w:val="26"/>
          <w:lang w:val="en-GB"/>
        </w:rPr>
        <w:t xml:space="preserve">from with the region as well </w:t>
      </w:r>
      <w:r w:rsidR="00365A57" w:rsidRPr="000B019C">
        <w:rPr>
          <w:rFonts w:asciiTheme="majorHAnsi" w:hAnsiTheme="majorHAnsi"/>
          <w:sz w:val="26"/>
          <w:szCs w:val="26"/>
          <w:lang w:val="en-GB"/>
        </w:rPr>
        <w:t xml:space="preserve">as </w:t>
      </w:r>
      <w:r w:rsidR="00EB4843" w:rsidRPr="000B019C">
        <w:rPr>
          <w:rFonts w:asciiTheme="majorHAnsi" w:hAnsiTheme="majorHAnsi"/>
          <w:sz w:val="26"/>
          <w:szCs w:val="26"/>
          <w:lang w:val="en-GB"/>
        </w:rPr>
        <w:t>from global level</w:t>
      </w:r>
      <w:r w:rsidR="00B95FCD">
        <w:rPr>
          <w:rFonts w:asciiTheme="majorHAnsi" w:hAnsiTheme="majorHAnsi"/>
          <w:sz w:val="26"/>
          <w:szCs w:val="26"/>
          <w:lang w:val="en-GB"/>
        </w:rPr>
        <w:t xml:space="preserve"> (e.g. south-south cooperation)</w:t>
      </w:r>
      <w:r w:rsidR="00FB4485" w:rsidRPr="000B019C">
        <w:rPr>
          <w:rFonts w:asciiTheme="majorHAnsi" w:hAnsiTheme="majorHAnsi"/>
          <w:sz w:val="26"/>
          <w:szCs w:val="26"/>
          <w:lang w:val="en-GB"/>
        </w:rPr>
        <w:t>,</w:t>
      </w:r>
      <w:r w:rsidR="00EB4843" w:rsidRPr="000B019C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0B20AC" w:rsidRPr="000B019C">
        <w:rPr>
          <w:rFonts w:asciiTheme="majorHAnsi" w:hAnsiTheme="majorHAnsi"/>
          <w:sz w:val="26"/>
          <w:szCs w:val="26"/>
          <w:lang w:val="en-GB"/>
        </w:rPr>
        <w:t>should be scaled up and re</w:t>
      </w:r>
      <w:r w:rsidR="006C3C1D" w:rsidRPr="000B019C">
        <w:rPr>
          <w:rFonts w:asciiTheme="majorHAnsi" w:hAnsiTheme="majorHAnsi"/>
          <w:sz w:val="26"/>
          <w:szCs w:val="26"/>
          <w:lang w:val="en-GB"/>
        </w:rPr>
        <w:t>plicated across the continent for community</w:t>
      </w:r>
      <w:r w:rsidR="00521A36" w:rsidRPr="000B019C">
        <w:rPr>
          <w:rFonts w:asciiTheme="majorHAnsi" w:hAnsiTheme="majorHAnsi"/>
          <w:sz w:val="26"/>
          <w:szCs w:val="26"/>
          <w:lang w:val="en-GB"/>
        </w:rPr>
        <w:t xml:space="preserve">-based disaster risk reduction, including through traditional and local institutions. </w:t>
      </w:r>
      <w:r w:rsidR="00EC191C" w:rsidRPr="000B019C">
        <w:rPr>
          <w:rFonts w:asciiTheme="majorHAnsi" w:hAnsiTheme="majorHAnsi"/>
          <w:sz w:val="26"/>
          <w:szCs w:val="26"/>
          <w:lang w:val="en-GB"/>
        </w:rPr>
        <w:t xml:space="preserve">Ecosystem-based disaster risk reduction </w:t>
      </w:r>
      <w:r w:rsidR="00F14ABE">
        <w:rPr>
          <w:rFonts w:asciiTheme="majorHAnsi" w:hAnsiTheme="majorHAnsi"/>
          <w:sz w:val="26"/>
          <w:szCs w:val="26"/>
          <w:lang w:val="en-GB"/>
        </w:rPr>
        <w:t xml:space="preserve">and integrated social protection </w:t>
      </w:r>
      <w:r w:rsidR="00EE311B">
        <w:rPr>
          <w:rFonts w:asciiTheme="majorHAnsi" w:hAnsiTheme="majorHAnsi"/>
          <w:sz w:val="26"/>
          <w:szCs w:val="26"/>
          <w:lang w:val="en-GB"/>
        </w:rPr>
        <w:t xml:space="preserve">approaches </w:t>
      </w:r>
      <w:r w:rsidR="00EC191C" w:rsidRPr="000B019C">
        <w:rPr>
          <w:rFonts w:asciiTheme="majorHAnsi" w:hAnsiTheme="majorHAnsi"/>
          <w:sz w:val="26"/>
          <w:szCs w:val="26"/>
          <w:lang w:val="en-GB"/>
        </w:rPr>
        <w:t>should be promoted as a comprehensive framework for resilience building.</w:t>
      </w:r>
      <w:r w:rsidR="007A176F">
        <w:rPr>
          <w:rFonts w:asciiTheme="majorHAnsi" w:hAnsiTheme="majorHAnsi"/>
          <w:sz w:val="26"/>
          <w:szCs w:val="26"/>
          <w:lang w:val="en-GB"/>
        </w:rPr>
        <w:t xml:space="preserve"> </w:t>
      </w:r>
    </w:p>
    <w:p w:rsidR="00BD1D49" w:rsidRPr="000B019C" w:rsidRDefault="006172A7" w:rsidP="00BD1D49">
      <w:pPr>
        <w:pStyle w:val="ListParagraph"/>
        <w:numPr>
          <w:ilvl w:val="0"/>
          <w:numId w:val="17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>Disasters affect different people differently.</w:t>
      </w:r>
      <w:r w:rsidR="00BD1D49" w:rsidRPr="000B019C">
        <w:rPr>
          <w:rFonts w:asciiTheme="majorHAnsi" w:hAnsiTheme="majorHAnsi"/>
          <w:sz w:val="26"/>
          <w:szCs w:val="26"/>
          <w:lang w:val="en-GB"/>
        </w:rPr>
        <w:t xml:space="preserve"> It is important to identify specific vulnerabilities associated with gender, age and </w:t>
      </w:r>
      <w:r w:rsidR="00BD1D49" w:rsidRPr="000B019C">
        <w:rPr>
          <w:rFonts w:asciiTheme="majorHAnsi" w:hAnsiTheme="majorHAnsi"/>
          <w:sz w:val="26"/>
          <w:szCs w:val="26"/>
          <w:lang w:val="en-GB"/>
        </w:rPr>
        <w:lastRenderedPageBreak/>
        <w:t xml:space="preserve">disabilities. </w:t>
      </w:r>
      <w:r w:rsidR="00585EB6" w:rsidRPr="000B019C">
        <w:rPr>
          <w:rFonts w:asciiTheme="majorHAnsi" w:hAnsiTheme="majorHAnsi"/>
          <w:sz w:val="26"/>
          <w:szCs w:val="26"/>
          <w:lang w:val="en-GB"/>
        </w:rPr>
        <w:t>Social vulnerabilities, particularly in the contex</w:t>
      </w:r>
      <w:r w:rsidR="0036736E" w:rsidRPr="000B019C">
        <w:rPr>
          <w:rFonts w:asciiTheme="majorHAnsi" w:hAnsiTheme="majorHAnsi"/>
          <w:sz w:val="26"/>
          <w:szCs w:val="26"/>
          <w:lang w:val="en-GB"/>
        </w:rPr>
        <w:t xml:space="preserve">t of gender equity, should be addressed. </w:t>
      </w:r>
    </w:p>
    <w:p w:rsidR="00BD1E2B" w:rsidRPr="000B019C" w:rsidRDefault="00AB7E65" w:rsidP="003E21C7">
      <w:pPr>
        <w:pStyle w:val="ListParagraph"/>
        <w:numPr>
          <w:ilvl w:val="0"/>
          <w:numId w:val="17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>Resilience through p</w:t>
      </w:r>
      <w:r w:rsidR="006833D2" w:rsidRPr="000B019C">
        <w:rPr>
          <w:rFonts w:asciiTheme="majorHAnsi" w:hAnsiTheme="majorHAnsi"/>
          <w:b/>
          <w:sz w:val="26"/>
          <w:szCs w:val="26"/>
          <w:lang w:val="en-GB"/>
        </w:rPr>
        <w:t xml:space="preserve">romotion of awareness and education. </w:t>
      </w:r>
      <w:r w:rsidR="000C0D87" w:rsidRPr="000C0D87">
        <w:rPr>
          <w:rFonts w:asciiTheme="majorHAnsi" w:hAnsiTheme="majorHAnsi"/>
          <w:sz w:val="26"/>
          <w:szCs w:val="26"/>
          <w:lang w:val="en-GB"/>
        </w:rPr>
        <w:t>School safety and risk-sensitive infrastructure should be developed.</w:t>
      </w:r>
      <w:r w:rsidR="000C0D87" w:rsidRPr="002709FD">
        <w:rPr>
          <w:rFonts w:asciiTheme="majorHAnsi" w:hAnsiTheme="majorHAnsi"/>
          <w:sz w:val="26"/>
          <w:szCs w:val="26"/>
          <w:lang w:val="en-GB"/>
        </w:rPr>
        <w:t xml:space="preserve"> There is a need to ensure m</w:t>
      </w:r>
      <w:r w:rsidR="00BC6937" w:rsidRPr="000B019C">
        <w:rPr>
          <w:rFonts w:asciiTheme="majorHAnsi" w:hAnsiTheme="majorHAnsi"/>
          <w:sz w:val="26"/>
          <w:szCs w:val="26"/>
          <w:lang w:val="en-GB"/>
        </w:rPr>
        <w:t xml:space="preserve">ainstreaming of disaster risk reduction into curricula at primary, secondary and tertiary levels. </w:t>
      </w:r>
      <w:r w:rsidR="006775E7">
        <w:rPr>
          <w:rFonts w:asciiTheme="majorHAnsi" w:hAnsiTheme="majorHAnsi"/>
          <w:sz w:val="26"/>
          <w:szCs w:val="26"/>
          <w:lang w:val="en-GB"/>
        </w:rPr>
        <w:t>Network of higher education institutions</w:t>
      </w:r>
      <w:r w:rsidR="00730616">
        <w:rPr>
          <w:rFonts w:asciiTheme="majorHAnsi" w:hAnsiTheme="majorHAnsi"/>
          <w:sz w:val="26"/>
          <w:szCs w:val="26"/>
          <w:lang w:val="en-GB"/>
        </w:rPr>
        <w:t xml:space="preserve"> should be promoted</w:t>
      </w:r>
      <w:r w:rsidR="009D07B6">
        <w:rPr>
          <w:rFonts w:asciiTheme="majorHAnsi" w:hAnsiTheme="majorHAnsi"/>
          <w:sz w:val="26"/>
          <w:szCs w:val="26"/>
          <w:lang w:val="en-GB"/>
        </w:rPr>
        <w:t xml:space="preserve"> which </w:t>
      </w:r>
      <w:r w:rsidR="007A5208" w:rsidRPr="000B019C">
        <w:rPr>
          <w:rFonts w:asciiTheme="majorHAnsi" w:hAnsiTheme="majorHAnsi"/>
          <w:sz w:val="26"/>
          <w:szCs w:val="26"/>
          <w:lang w:val="en-GB"/>
        </w:rPr>
        <w:t xml:space="preserve">in turn </w:t>
      </w:r>
      <w:r w:rsidR="009D07B6">
        <w:rPr>
          <w:rFonts w:asciiTheme="majorHAnsi" w:hAnsiTheme="majorHAnsi"/>
          <w:sz w:val="26"/>
          <w:szCs w:val="26"/>
          <w:lang w:val="en-GB"/>
        </w:rPr>
        <w:t xml:space="preserve">should </w:t>
      </w:r>
      <w:r w:rsidR="007A5208" w:rsidRPr="000B019C">
        <w:rPr>
          <w:rFonts w:asciiTheme="majorHAnsi" w:hAnsiTheme="majorHAnsi"/>
          <w:sz w:val="26"/>
          <w:szCs w:val="26"/>
          <w:lang w:val="en-GB"/>
        </w:rPr>
        <w:t>be linked with disaster risk reduction professionals for their capacity development.</w:t>
      </w:r>
      <w:r w:rsidR="009011DE">
        <w:rPr>
          <w:rFonts w:asciiTheme="majorHAnsi" w:hAnsiTheme="majorHAnsi"/>
          <w:sz w:val="26"/>
          <w:szCs w:val="26"/>
          <w:lang w:val="en-GB"/>
        </w:rPr>
        <w:t xml:space="preserve"> </w:t>
      </w:r>
      <w:r w:rsidR="00C77967" w:rsidRPr="000B019C">
        <w:rPr>
          <w:rFonts w:asciiTheme="majorHAnsi" w:hAnsiTheme="majorHAnsi"/>
          <w:sz w:val="26"/>
          <w:szCs w:val="26"/>
          <w:lang w:val="en-GB"/>
        </w:rPr>
        <w:t xml:space="preserve">Community leaders </w:t>
      </w:r>
      <w:r w:rsidR="009D07B6">
        <w:rPr>
          <w:rFonts w:asciiTheme="majorHAnsi" w:hAnsiTheme="majorHAnsi"/>
          <w:sz w:val="26"/>
          <w:szCs w:val="26"/>
          <w:lang w:val="en-GB"/>
        </w:rPr>
        <w:t xml:space="preserve">and media </w:t>
      </w:r>
      <w:r w:rsidR="00C77967" w:rsidRPr="000B019C">
        <w:rPr>
          <w:rFonts w:asciiTheme="majorHAnsi" w:hAnsiTheme="majorHAnsi"/>
          <w:sz w:val="26"/>
          <w:szCs w:val="26"/>
          <w:lang w:val="en-GB"/>
        </w:rPr>
        <w:t xml:space="preserve">should be </w:t>
      </w:r>
      <w:r w:rsidR="009D07B6">
        <w:rPr>
          <w:rFonts w:asciiTheme="majorHAnsi" w:hAnsiTheme="majorHAnsi"/>
          <w:sz w:val="26"/>
          <w:szCs w:val="26"/>
          <w:lang w:val="en-GB"/>
        </w:rPr>
        <w:t xml:space="preserve">engaged </w:t>
      </w:r>
      <w:r w:rsidR="00C77967" w:rsidRPr="000B019C">
        <w:rPr>
          <w:rFonts w:asciiTheme="majorHAnsi" w:hAnsiTheme="majorHAnsi"/>
          <w:sz w:val="26"/>
          <w:szCs w:val="26"/>
          <w:lang w:val="en-GB"/>
        </w:rPr>
        <w:t xml:space="preserve">for decentralized awareness. </w:t>
      </w:r>
    </w:p>
    <w:p w:rsidR="006B7F6D" w:rsidRPr="000B019C" w:rsidRDefault="006B7F6D" w:rsidP="00BD1D49">
      <w:pPr>
        <w:pStyle w:val="ListParagraph"/>
        <w:numPr>
          <w:ilvl w:val="0"/>
          <w:numId w:val="17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Infrastructure, urban risk and risk transfers. </w:t>
      </w:r>
      <w:r w:rsidR="00E504F5" w:rsidRPr="000B019C">
        <w:rPr>
          <w:rFonts w:asciiTheme="majorHAnsi" w:hAnsiTheme="majorHAnsi"/>
          <w:sz w:val="26"/>
          <w:szCs w:val="26"/>
          <w:lang w:val="en-GB"/>
        </w:rPr>
        <w:t xml:space="preserve">Urban risk assessments should be </w:t>
      </w:r>
      <w:r w:rsidR="00013770" w:rsidRPr="000B019C">
        <w:rPr>
          <w:rFonts w:asciiTheme="majorHAnsi" w:hAnsiTheme="majorHAnsi"/>
          <w:sz w:val="26"/>
          <w:szCs w:val="26"/>
          <w:lang w:val="en-GB"/>
        </w:rPr>
        <w:t xml:space="preserve">strengthened leading to building codes and </w:t>
      </w:r>
      <w:r w:rsidR="00E65811" w:rsidRPr="000B019C">
        <w:rPr>
          <w:rFonts w:asciiTheme="majorHAnsi" w:hAnsiTheme="majorHAnsi"/>
          <w:sz w:val="26"/>
          <w:szCs w:val="26"/>
          <w:lang w:val="en-GB"/>
        </w:rPr>
        <w:t>enforcement</w:t>
      </w:r>
      <w:r w:rsidR="00013770" w:rsidRPr="000B019C">
        <w:rPr>
          <w:rFonts w:asciiTheme="majorHAnsi" w:hAnsiTheme="majorHAnsi"/>
          <w:sz w:val="26"/>
          <w:szCs w:val="26"/>
          <w:lang w:val="en-GB"/>
        </w:rPr>
        <w:t xml:space="preserve">. </w:t>
      </w:r>
      <w:r w:rsidR="00834989" w:rsidRPr="000B019C">
        <w:rPr>
          <w:rFonts w:asciiTheme="majorHAnsi" w:hAnsiTheme="majorHAnsi"/>
          <w:sz w:val="26"/>
          <w:szCs w:val="26"/>
          <w:lang w:val="en-GB"/>
        </w:rPr>
        <w:t xml:space="preserve">Conversely, infrastructure requirements of rural communities should be identified. </w:t>
      </w:r>
      <w:r w:rsidR="00E11A0A">
        <w:rPr>
          <w:rFonts w:asciiTheme="majorHAnsi" w:hAnsiTheme="majorHAnsi"/>
          <w:sz w:val="26"/>
          <w:szCs w:val="26"/>
          <w:lang w:val="en-GB"/>
        </w:rPr>
        <w:t xml:space="preserve">There needs to be a commitment to </w:t>
      </w:r>
      <w:r w:rsidR="00E5033D">
        <w:rPr>
          <w:rFonts w:asciiTheme="majorHAnsi" w:hAnsiTheme="majorHAnsi"/>
          <w:sz w:val="26"/>
          <w:szCs w:val="26"/>
          <w:lang w:val="en-GB"/>
        </w:rPr>
        <w:t xml:space="preserve">allocate </w:t>
      </w:r>
      <w:r w:rsidR="00E11A0A">
        <w:rPr>
          <w:rFonts w:asciiTheme="majorHAnsi" w:hAnsiTheme="majorHAnsi"/>
          <w:sz w:val="26"/>
          <w:szCs w:val="26"/>
          <w:lang w:val="en-GB"/>
        </w:rPr>
        <w:t xml:space="preserve">certain proportion of infrastructure </w:t>
      </w:r>
      <w:r w:rsidR="00E5033D">
        <w:rPr>
          <w:rFonts w:asciiTheme="majorHAnsi" w:hAnsiTheme="majorHAnsi"/>
          <w:sz w:val="26"/>
          <w:szCs w:val="26"/>
          <w:lang w:val="en-GB"/>
        </w:rPr>
        <w:t xml:space="preserve">investment </w:t>
      </w:r>
      <w:r w:rsidR="00E11A0A">
        <w:rPr>
          <w:rFonts w:asciiTheme="majorHAnsi" w:hAnsiTheme="majorHAnsi"/>
          <w:sz w:val="26"/>
          <w:szCs w:val="26"/>
          <w:lang w:val="en-GB"/>
        </w:rPr>
        <w:t xml:space="preserve">on disaster risk reduction. </w:t>
      </w:r>
    </w:p>
    <w:p w:rsidR="00BD1D49" w:rsidRPr="000B019C" w:rsidRDefault="00BD1D49" w:rsidP="00BD1D49">
      <w:pPr>
        <w:pStyle w:val="ListParagraph"/>
        <w:numPr>
          <w:ilvl w:val="0"/>
          <w:numId w:val="17"/>
        </w:numPr>
        <w:tabs>
          <w:tab w:val="center" w:pos="4320"/>
          <w:tab w:val="left" w:pos="6600"/>
        </w:tabs>
        <w:spacing w:after="60" w:line="288" w:lineRule="auto"/>
        <w:contextualSpacing w:val="0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Private </w:t>
      </w:r>
      <w:r w:rsidR="003566D7" w:rsidRPr="000B019C">
        <w:rPr>
          <w:rFonts w:asciiTheme="majorHAnsi" w:hAnsiTheme="majorHAnsi"/>
          <w:b/>
          <w:sz w:val="26"/>
          <w:szCs w:val="26"/>
          <w:lang w:val="en-GB"/>
        </w:rPr>
        <w:t>s</w:t>
      </w:r>
      <w:r w:rsidRPr="000B019C">
        <w:rPr>
          <w:rFonts w:asciiTheme="majorHAnsi" w:hAnsiTheme="majorHAnsi"/>
          <w:b/>
          <w:sz w:val="26"/>
          <w:szCs w:val="26"/>
          <w:lang w:val="en-GB"/>
        </w:rPr>
        <w:t xml:space="preserve">ector </w:t>
      </w:r>
      <w:r w:rsidR="007C5DC4" w:rsidRPr="000B019C">
        <w:rPr>
          <w:rFonts w:asciiTheme="majorHAnsi" w:hAnsiTheme="majorHAnsi"/>
          <w:b/>
          <w:sz w:val="26"/>
          <w:szCs w:val="26"/>
          <w:lang w:val="en-GB"/>
        </w:rPr>
        <w:t>ha</w:t>
      </w:r>
      <w:r w:rsidR="003566D7" w:rsidRPr="000B019C">
        <w:rPr>
          <w:rFonts w:asciiTheme="majorHAnsi" w:hAnsiTheme="majorHAnsi"/>
          <w:b/>
          <w:sz w:val="26"/>
          <w:szCs w:val="26"/>
          <w:lang w:val="en-GB"/>
        </w:rPr>
        <w:t>s</w:t>
      </w:r>
      <w:r w:rsidR="007C5DC4" w:rsidRPr="000B019C">
        <w:rPr>
          <w:rFonts w:asciiTheme="majorHAnsi" w:hAnsiTheme="majorHAnsi"/>
          <w:b/>
          <w:sz w:val="26"/>
          <w:szCs w:val="26"/>
          <w:lang w:val="en-GB"/>
        </w:rPr>
        <w:t xml:space="preserve"> a high stake in disaster risk reduction</w:t>
      </w:r>
      <w:r w:rsidR="008354D5" w:rsidRPr="000B019C">
        <w:rPr>
          <w:rFonts w:asciiTheme="majorHAnsi" w:hAnsiTheme="majorHAnsi"/>
          <w:b/>
          <w:sz w:val="26"/>
          <w:szCs w:val="26"/>
          <w:lang w:val="en-GB"/>
        </w:rPr>
        <w:t xml:space="preserve"> </w:t>
      </w:r>
      <w:r w:rsidR="008354D5" w:rsidRPr="000B019C">
        <w:rPr>
          <w:rFonts w:asciiTheme="majorHAnsi" w:hAnsiTheme="majorHAnsi"/>
          <w:sz w:val="26"/>
          <w:szCs w:val="26"/>
          <w:lang w:val="en-GB"/>
        </w:rPr>
        <w:t xml:space="preserve">and </w:t>
      </w:r>
      <w:r w:rsidR="00851A5C" w:rsidRPr="000B019C">
        <w:rPr>
          <w:rFonts w:asciiTheme="majorHAnsi" w:hAnsiTheme="majorHAnsi"/>
          <w:sz w:val="26"/>
          <w:szCs w:val="26"/>
          <w:lang w:val="en-GB"/>
        </w:rPr>
        <w:t>should be involved as a vital partner in implementation of disaster risk r</w:t>
      </w:r>
      <w:r w:rsidR="007B544E" w:rsidRPr="000B019C">
        <w:rPr>
          <w:rFonts w:asciiTheme="majorHAnsi" w:hAnsiTheme="majorHAnsi"/>
          <w:sz w:val="26"/>
          <w:szCs w:val="26"/>
          <w:lang w:val="en-GB"/>
        </w:rPr>
        <w:t xml:space="preserve">eduction, including through working closely with the chambers of commerce and industries. </w:t>
      </w:r>
    </w:p>
    <w:p w:rsidR="0085135E" w:rsidRPr="00F14F01" w:rsidRDefault="0085135E" w:rsidP="000E6A6D">
      <w:pPr>
        <w:tabs>
          <w:tab w:val="center" w:pos="4320"/>
          <w:tab w:val="left" w:pos="6600"/>
        </w:tabs>
        <w:spacing w:after="60" w:line="288" w:lineRule="auto"/>
        <w:jc w:val="both"/>
        <w:rPr>
          <w:rFonts w:asciiTheme="majorHAnsi" w:hAnsiTheme="majorHAnsi"/>
          <w:sz w:val="12"/>
          <w:szCs w:val="26"/>
          <w:lang w:val="en-GB"/>
        </w:rPr>
      </w:pPr>
    </w:p>
    <w:p w:rsidR="007C0914" w:rsidRDefault="001B6E43" w:rsidP="007C0914">
      <w:pPr>
        <w:pStyle w:val="ListParagraph"/>
        <w:numPr>
          <w:ilvl w:val="0"/>
          <w:numId w:val="1"/>
        </w:numPr>
        <w:tabs>
          <w:tab w:val="center" w:pos="4320"/>
          <w:tab w:val="left" w:pos="6600"/>
        </w:tabs>
        <w:spacing w:after="60" w:line="288" w:lineRule="auto"/>
        <w:jc w:val="both"/>
        <w:rPr>
          <w:rFonts w:asciiTheme="majorHAnsi" w:hAnsiTheme="majorHAnsi"/>
          <w:sz w:val="26"/>
          <w:szCs w:val="26"/>
          <w:lang w:val="en-GB"/>
        </w:rPr>
      </w:pPr>
      <w:r w:rsidRPr="00F14F01">
        <w:rPr>
          <w:rFonts w:asciiTheme="majorHAnsi" w:hAnsiTheme="majorHAnsi"/>
          <w:sz w:val="26"/>
          <w:szCs w:val="26"/>
          <w:lang w:val="en-GB"/>
        </w:rPr>
        <w:t xml:space="preserve">Participants </w:t>
      </w:r>
      <w:r w:rsidR="00A22B8A" w:rsidRPr="00F14F01">
        <w:rPr>
          <w:rFonts w:asciiTheme="majorHAnsi" w:hAnsiTheme="majorHAnsi"/>
          <w:sz w:val="26"/>
          <w:szCs w:val="26"/>
          <w:lang w:val="en-GB"/>
        </w:rPr>
        <w:t xml:space="preserve">jointly endorse </w:t>
      </w:r>
      <w:r w:rsidRPr="00F14F01">
        <w:rPr>
          <w:rFonts w:asciiTheme="majorHAnsi" w:hAnsiTheme="majorHAnsi"/>
          <w:sz w:val="26"/>
          <w:szCs w:val="26"/>
          <w:lang w:val="en-GB"/>
        </w:rPr>
        <w:t xml:space="preserve">these recommendations as the first set of proposals for the Africa </w:t>
      </w:r>
      <w:r w:rsidR="00A22B8A" w:rsidRPr="00F14F01">
        <w:rPr>
          <w:rFonts w:asciiTheme="majorHAnsi" w:hAnsiTheme="majorHAnsi"/>
          <w:sz w:val="26"/>
          <w:szCs w:val="26"/>
          <w:lang w:val="en-GB"/>
        </w:rPr>
        <w:t xml:space="preserve">Position on </w:t>
      </w:r>
      <w:r w:rsidR="003E7421" w:rsidRPr="00F14F01">
        <w:rPr>
          <w:rFonts w:asciiTheme="majorHAnsi" w:hAnsiTheme="majorHAnsi"/>
          <w:sz w:val="26"/>
          <w:szCs w:val="26"/>
          <w:lang w:val="en-GB"/>
        </w:rPr>
        <w:t xml:space="preserve">post-2015 framework for disaster risk reduction and agree that these would be refined at the Africa Working Group Meeting </w:t>
      </w:r>
      <w:r w:rsidR="006E4D62" w:rsidRPr="00F14F01">
        <w:rPr>
          <w:rFonts w:asciiTheme="majorHAnsi" w:hAnsiTheme="majorHAnsi"/>
          <w:sz w:val="26"/>
          <w:szCs w:val="26"/>
          <w:lang w:val="en-GB"/>
        </w:rPr>
        <w:t xml:space="preserve">in March 2014 to be endorsed at the Fifth Africa Regional Platform for Disaster Risk Reduction scheduled for 5-8 May 2014 in Abuja, Nigeria. </w:t>
      </w:r>
    </w:p>
    <w:p w:rsidR="00450406" w:rsidRPr="00F14F01" w:rsidRDefault="00450406" w:rsidP="00450406">
      <w:pPr>
        <w:pStyle w:val="ListParagraph"/>
        <w:tabs>
          <w:tab w:val="center" w:pos="4320"/>
          <w:tab w:val="left" w:pos="6600"/>
        </w:tabs>
        <w:spacing w:after="60" w:line="288" w:lineRule="auto"/>
        <w:jc w:val="both"/>
        <w:rPr>
          <w:rFonts w:asciiTheme="majorHAnsi" w:hAnsiTheme="majorHAnsi"/>
          <w:sz w:val="26"/>
          <w:szCs w:val="26"/>
          <w:lang w:val="en-GB"/>
        </w:rPr>
      </w:pPr>
    </w:p>
    <w:p w:rsidR="00E31A59" w:rsidRPr="000B019C" w:rsidRDefault="007C0914" w:rsidP="00F14F01">
      <w:pPr>
        <w:tabs>
          <w:tab w:val="center" w:pos="4320"/>
          <w:tab w:val="left" w:pos="6600"/>
        </w:tabs>
        <w:spacing w:after="60" w:line="288" w:lineRule="auto"/>
        <w:jc w:val="center"/>
        <w:rPr>
          <w:rFonts w:asciiTheme="majorHAnsi" w:hAnsiTheme="majorHAnsi"/>
          <w:sz w:val="26"/>
          <w:szCs w:val="26"/>
          <w:lang w:val="en-GB"/>
        </w:rPr>
      </w:pPr>
      <w:r w:rsidRPr="000B019C">
        <w:rPr>
          <w:rFonts w:asciiTheme="majorHAnsi" w:hAnsiTheme="majorHAnsi"/>
          <w:sz w:val="26"/>
          <w:szCs w:val="26"/>
          <w:lang w:val="en-GB"/>
        </w:rPr>
        <w:t xml:space="preserve">- - END -- </w:t>
      </w:r>
    </w:p>
    <w:sectPr w:rsidR="00E31A59" w:rsidRPr="000B019C" w:rsidSect="0090045B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7B" w:rsidRDefault="00712E7B" w:rsidP="004125CC">
      <w:r>
        <w:separator/>
      </w:r>
    </w:p>
  </w:endnote>
  <w:endnote w:type="continuationSeparator" w:id="0">
    <w:p w:rsidR="00712E7B" w:rsidRDefault="00712E7B" w:rsidP="0041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5" w:rsidRPr="004125CC" w:rsidRDefault="004125CC" w:rsidP="00AB0295">
    <w:pPr>
      <w:pStyle w:val="Footer"/>
      <w:jc w:val="right"/>
      <w:rPr>
        <w:rFonts w:ascii="Arial Narrow" w:hAnsi="Arial Narrow"/>
        <w:sz w:val="20"/>
        <w:szCs w:val="20"/>
      </w:rPr>
    </w:pPr>
    <w:r>
      <w:t xml:space="preserve">   </w:t>
    </w:r>
    <w:r>
      <w:rPr>
        <w:noProof/>
        <w:lang w:val="en-GB" w:eastAsia="zh-CN"/>
      </w:rPr>
      <w:drawing>
        <wp:inline distT="0" distB="0" distL="0" distR="0" wp14:anchorId="759F6383" wp14:editId="7EB99411">
          <wp:extent cx="5943600" cy="1263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A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295" w:rsidRPr="00AB0295">
      <w:rPr>
        <w:rFonts w:ascii="Arial Narrow" w:hAnsi="Arial Narrow"/>
        <w:sz w:val="20"/>
        <w:szCs w:val="20"/>
      </w:rPr>
      <w:t xml:space="preserve"> </w:t>
    </w:r>
    <w:sdt>
      <w:sdtPr>
        <w:rPr>
          <w:rFonts w:ascii="Arial Narrow" w:hAnsi="Arial Narrow"/>
          <w:sz w:val="20"/>
          <w:szCs w:val="20"/>
        </w:rPr>
        <w:id w:val="17870817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B0295" w:rsidRPr="004125CC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3069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AB0295" w:rsidRPr="004125CC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3069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="00AB0295" w:rsidRPr="004125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4125CC" w:rsidRDefault="0041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7B" w:rsidRDefault="00712E7B" w:rsidP="004125CC">
      <w:r>
        <w:separator/>
      </w:r>
    </w:p>
  </w:footnote>
  <w:footnote w:type="continuationSeparator" w:id="0">
    <w:p w:rsidR="00712E7B" w:rsidRDefault="00712E7B" w:rsidP="0041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356"/>
    <w:multiLevelType w:val="hybridMultilevel"/>
    <w:tmpl w:val="1AE4DF28"/>
    <w:lvl w:ilvl="0" w:tplc="7AB4EE8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E6FEC"/>
    <w:multiLevelType w:val="hybridMultilevel"/>
    <w:tmpl w:val="F726272C"/>
    <w:lvl w:ilvl="0" w:tplc="374E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A7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EB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0A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E4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C1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C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01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AB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241E"/>
    <w:multiLevelType w:val="hybridMultilevel"/>
    <w:tmpl w:val="A3F80904"/>
    <w:lvl w:ilvl="0" w:tplc="2766C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E4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46B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4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C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B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A8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C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0967B3"/>
    <w:multiLevelType w:val="hybridMultilevel"/>
    <w:tmpl w:val="FA4A7B84"/>
    <w:lvl w:ilvl="0" w:tplc="E9C6D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68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ED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AE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46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E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84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67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8D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993D13"/>
    <w:multiLevelType w:val="multilevel"/>
    <w:tmpl w:val="60645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571B0"/>
    <w:multiLevelType w:val="hybridMultilevel"/>
    <w:tmpl w:val="9BD49BC2"/>
    <w:lvl w:ilvl="0" w:tplc="F6445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66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B0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04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2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A5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2C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B87F86"/>
    <w:multiLevelType w:val="multilevel"/>
    <w:tmpl w:val="60645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854650"/>
    <w:multiLevelType w:val="multilevel"/>
    <w:tmpl w:val="60645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2117F4"/>
    <w:multiLevelType w:val="hybridMultilevel"/>
    <w:tmpl w:val="2C3A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02D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30A92"/>
    <w:multiLevelType w:val="hybridMultilevel"/>
    <w:tmpl w:val="805CE33C"/>
    <w:lvl w:ilvl="0" w:tplc="F65A8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E8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487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24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A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E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8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283ED9"/>
    <w:multiLevelType w:val="hybridMultilevel"/>
    <w:tmpl w:val="1AE4DF28"/>
    <w:lvl w:ilvl="0" w:tplc="7AB4EE8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309ED"/>
    <w:multiLevelType w:val="hybridMultilevel"/>
    <w:tmpl w:val="D4E88818"/>
    <w:lvl w:ilvl="0" w:tplc="A0F4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CC9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2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6A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C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4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A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0B27EC"/>
    <w:multiLevelType w:val="hybridMultilevel"/>
    <w:tmpl w:val="65A4B16C"/>
    <w:lvl w:ilvl="0" w:tplc="EDD0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57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2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2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C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03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64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08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3240D1"/>
    <w:multiLevelType w:val="multilevel"/>
    <w:tmpl w:val="60645E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BD61683"/>
    <w:multiLevelType w:val="hybridMultilevel"/>
    <w:tmpl w:val="C50CDD00"/>
    <w:lvl w:ilvl="0" w:tplc="E28C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D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EA3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E0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8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E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6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A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DF1F90"/>
    <w:multiLevelType w:val="hybridMultilevel"/>
    <w:tmpl w:val="2FDA0BDE"/>
    <w:lvl w:ilvl="0" w:tplc="99549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A1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0F4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8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1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AD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6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A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8C5D7B"/>
    <w:multiLevelType w:val="multilevel"/>
    <w:tmpl w:val="EDEC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FC93D0A"/>
    <w:multiLevelType w:val="hybridMultilevel"/>
    <w:tmpl w:val="AE5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C"/>
    <w:rsid w:val="00013770"/>
    <w:rsid w:val="00017106"/>
    <w:rsid w:val="00020F35"/>
    <w:rsid w:val="0002112B"/>
    <w:rsid w:val="00030E64"/>
    <w:rsid w:val="0003685E"/>
    <w:rsid w:val="00045C68"/>
    <w:rsid w:val="000560A6"/>
    <w:rsid w:val="00057F30"/>
    <w:rsid w:val="000670CF"/>
    <w:rsid w:val="00067F36"/>
    <w:rsid w:val="00082D21"/>
    <w:rsid w:val="0008420D"/>
    <w:rsid w:val="0009775B"/>
    <w:rsid w:val="000A0AB8"/>
    <w:rsid w:val="000A164A"/>
    <w:rsid w:val="000A18F5"/>
    <w:rsid w:val="000B019C"/>
    <w:rsid w:val="000B20AC"/>
    <w:rsid w:val="000B37D5"/>
    <w:rsid w:val="000B4853"/>
    <w:rsid w:val="000C0D87"/>
    <w:rsid w:val="000C133F"/>
    <w:rsid w:val="000D3AC3"/>
    <w:rsid w:val="000E14EE"/>
    <w:rsid w:val="000E6A6D"/>
    <w:rsid w:val="00115F3B"/>
    <w:rsid w:val="00122F4F"/>
    <w:rsid w:val="00130A6F"/>
    <w:rsid w:val="001312F2"/>
    <w:rsid w:val="001531DB"/>
    <w:rsid w:val="00170558"/>
    <w:rsid w:val="00174F54"/>
    <w:rsid w:val="001845A9"/>
    <w:rsid w:val="00185D59"/>
    <w:rsid w:val="00191D90"/>
    <w:rsid w:val="001942DC"/>
    <w:rsid w:val="001B3BE5"/>
    <w:rsid w:val="001B64F0"/>
    <w:rsid w:val="001B6E43"/>
    <w:rsid w:val="001F37A2"/>
    <w:rsid w:val="002022EE"/>
    <w:rsid w:val="00203EF9"/>
    <w:rsid w:val="00207942"/>
    <w:rsid w:val="0021479E"/>
    <w:rsid w:val="0021632C"/>
    <w:rsid w:val="00221A6B"/>
    <w:rsid w:val="0023069D"/>
    <w:rsid w:val="00230D0A"/>
    <w:rsid w:val="0024023D"/>
    <w:rsid w:val="002509B9"/>
    <w:rsid w:val="002602D5"/>
    <w:rsid w:val="00263319"/>
    <w:rsid w:val="00263611"/>
    <w:rsid w:val="0026633F"/>
    <w:rsid w:val="002709FD"/>
    <w:rsid w:val="00271AD9"/>
    <w:rsid w:val="00274CAB"/>
    <w:rsid w:val="00280EC5"/>
    <w:rsid w:val="0028184E"/>
    <w:rsid w:val="00287A92"/>
    <w:rsid w:val="00296443"/>
    <w:rsid w:val="002A18D9"/>
    <w:rsid w:val="002A6903"/>
    <w:rsid w:val="002A7A81"/>
    <w:rsid w:val="002B72B1"/>
    <w:rsid w:val="002B7C2D"/>
    <w:rsid w:val="002C3272"/>
    <w:rsid w:val="002C4E5C"/>
    <w:rsid w:val="002D641F"/>
    <w:rsid w:val="003007F6"/>
    <w:rsid w:val="003214F9"/>
    <w:rsid w:val="003328D8"/>
    <w:rsid w:val="00333AE3"/>
    <w:rsid w:val="00335C50"/>
    <w:rsid w:val="0033672C"/>
    <w:rsid w:val="003423D9"/>
    <w:rsid w:val="00343AFD"/>
    <w:rsid w:val="0034666F"/>
    <w:rsid w:val="00346992"/>
    <w:rsid w:val="00352F41"/>
    <w:rsid w:val="003566D7"/>
    <w:rsid w:val="003614AF"/>
    <w:rsid w:val="00365A57"/>
    <w:rsid w:val="0036736E"/>
    <w:rsid w:val="0037580E"/>
    <w:rsid w:val="00375934"/>
    <w:rsid w:val="003A0011"/>
    <w:rsid w:val="003A1267"/>
    <w:rsid w:val="003B02C1"/>
    <w:rsid w:val="003B398D"/>
    <w:rsid w:val="003B448E"/>
    <w:rsid w:val="003C2116"/>
    <w:rsid w:val="003D28B9"/>
    <w:rsid w:val="003D471C"/>
    <w:rsid w:val="003D698A"/>
    <w:rsid w:val="003E21C7"/>
    <w:rsid w:val="003E7421"/>
    <w:rsid w:val="003F2BEE"/>
    <w:rsid w:val="003F360B"/>
    <w:rsid w:val="00401A39"/>
    <w:rsid w:val="004061F9"/>
    <w:rsid w:val="004125CC"/>
    <w:rsid w:val="00415EAE"/>
    <w:rsid w:val="00417DD5"/>
    <w:rsid w:val="00422C80"/>
    <w:rsid w:val="004240BF"/>
    <w:rsid w:val="0043064A"/>
    <w:rsid w:val="00433293"/>
    <w:rsid w:val="00440977"/>
    <w:rsid w:val="00450406"/>
    <w:rsid w:val="004511ED"/>
    <w:rsid w:val="00462E6F"/>
    <w:rsid w:val="0047204C"/>
    <w:rsid w:val="0047603B"/>
    <w:rsid w:val="0048107C"/>
    <w:rsid w:val="00486F2D"/>
    <w:rsid w:val="00492E04"/>
    <w:rsid w:val="00496D6D"/>
    <w:rsid w:val="004976A6"/>
    <w:rsid w:val="004A0644"/>
    <w:rsid w:val="004B0E64"/>
    <w:rsid w:val="004D0182"/>
    <w:rsid w:val="004D1559"/>
    <w:rsid w:val="004F1A08"/>
    <w:rsid w:val="004F4F91"/>
    <w:rsid w:val="004F6F41"/>
    <w:rsid w:val="00506F01"/>
    <w:rsid w:val="00507C09"/>
    <w:rsid w:val="00514A2E"/>
    <w:rsid w:val="00516882"/>
    <w:rsid w:val="00521A36"/>
    <w:rsid w:val="00535073"/>
    <w:rsid w:val="00535DA4"/>
    <w:rsid w:val="00541954"/>
    <w:rsid w:val="00543AC3"/>
    <w:rsid w:val="00552C5E"/>
    <w:rsid w:val="0057020D"/>
    <w:rsid w:val="00585EB6"/>
    <w:rsid w:val="00593357"/>
    <w:rsid w:val="00594F9B"/>
    <w:rsid w:val="005B648D"/>
    <w:rsid w:val="005C1116"/>
    <w:rsid w:val="005C6D61"/>
    <w:rsid w:val="005D77F8"/>
    <w:rsid w:val="005E6D97"/>
    <w:rsid w:val="005F0E20"/>
    <w:rsid w:val="005F6E47"/>
    <w:rsid w:val="005F759E"/>
    <w:rsid w:val="006172A7"/>
    <w:rsid w:val="00627DC5"/>
    <w:rsid w:val="00631097"/>
    <w:rsid w:val="006431C6"/>
    <w:rsid w:val="00653A87"/>
    <w:rsid w:val="00653BEF"/>
    <w:rsid w:val="00670DB3"/>
    <w:rsid w:val="006775E7"/>
    <w:rsid w:val="006833D2"/>
    <w:rsid w:val="00685883"/>
    <w:rsid w:val="0069047A"/>
    <w:rsid w:val="00693456"/>
    <w:rsid w:val="00693E7E"/>
    <w:rsid w:val="00696B52"/>
    <w:rsid w:val="006971D6"/>
    <w:rsid w:val="006A401F"/>
    <w:rsid w:val="006B1496"/>
    <w:rsid w:val="006B1516"/>
    <w:rsid w:val="006B5F1B"/>
    <w:rsid w:val="006B7F6D"/>
    <w:rsid w:val="006C3C1D"/>
    <w:rsid w:val="006E206F"/>
    <w:rsid w:val="006E4D62"/>
    <w:rsid w:val="006F082B"/>
    <w:rsid w:val="006F252F"/>
    <w:rsid w:val="006F34A0"/>
    <w:rsid w:val="006F5B77"/>
    <w:rsid w:val="006F7DA9"/>
    <w:rsid w:val="00700FE9"/>
    <w:rsid w:val="00703A43"/>
    <w:rsid w:val="00703D26"/>
    <w:rsid w:val="00705364"/>
    <w:rsid w:val="00712E7B"/>
    <w:rsid w:val="00730616"/>
    <w:rsid w:val="00733005"/>
    <w:rsid w:val="00735C19"/>
    <w:rsid w:val="00735EC9"/>
    <w:rsid w:val="00744F59"/>
    <w:rsid w:val="007624FC"/>
    <w:rsid w:val="00790EFB"/>
    <w:rsid w:val="00791144"/>
    <w:rsid w:val="00792E10"/>
    <w:rsid w:val="007A176F"/>
    <w:rsid w:val="007A5208"/>
    <w:rsid w:val="007A7832"/>
    <w:rsid w:val="007B05B0"/>
    <w:rsid w:val="007B544E"/>
    <w:rsid w:val="007C0914"/>
    <w:rsid w:val="007C5DC4"/>
    <w:rsid w:val="007E3688"/>
    <w:rsid w:val="007F7D25"/>
    <w:rsid w:val="008075D5"/>
    <w:rsid w:val="00810321"/>
    <w:rsid w:val="0082025A"/>
    <w:rsid w:val="00820E3E"/>
    <w:rsid w:val="00825C86"/>
    <w:rsid w:val="008304B5"/>
    <w:rsid w:val="00834989"/>
    <w:rsid w:val="00834F02"/>
    <w:rsid w:val="008354D5"/>
    <w:rsid w:val="00837935"/>
    <w:rsid w:val="00842DAA"/>
    <w:rsid w:val="0085135E"/>
    <w:rsid w:val="00851A5C"/>
    <w:rsid w:val="008662C8"/>
    <w:rsid w:val="008773A2"/>
    <w:rsid w:val="00877E8D"/>
    <w:rsid w:val="008811D6"/>
    <w:rsid w:val="00884E8B"/>
    <w:rsid w:val="0089075C"/>
    <w:rsid w:val="0089218F"/>
    <w:rsid w:val="008A043B"/>
    <w:rsid w:val="008A3FD6"/>
    <w:rsid w:val="008A5814"/>
    <w:rsid w:val="008B7FDE"/>
    <w:rsid w:val="008C714B"/>
    <w:rsid w:val="008E5BA9"/>
    <w:rsid w:val="008F3B03"/>
    <w:rsid w:val="008F6F2C"/>
    <w:rsid w:val="0090045B"/>
    <w:rsid w:val="00900737"/>
    <w:rsid w:val="009011DE"/>
    <w:rsid w:val="00917660"/>
    <w:rsid w:val="00925D59"/>
    <w:rsid w:val="00930EAD"/>
    <w:rsid w:val="00945FEC"/>
    <w:rsid w:val="00947CB1"/>
    <w:rsid w:val="009616C6"/>
    <w:rsid w:val="00967057"/>
    <w:rsid w:val="00967CAF"/>
    <w:rsid w:val="0097702E"/>
    <w:rsid w:val="0098063C"/>
    <w:rsid w:val="00990B3F"/>
    <w:rsid w:val="00991994"/>
    <w:rsid w:val="009B0394"/>
    <w:rsid w:val="009C41FF"/>
    <w:rsid w:val="009D07B6"/>
    <w:rsid w:val="009D4479"/>
    <w:rsid w:val="009D59FE"/>
    <w:rsid w:val="009D6099"/>
    <w:rsid w:val="009E25F3"/>
    <w:rsid w:val="009E4447"/>
    <w:rsid w:val="009E4D54"/>
    <w:rsid w:val="009F139C"/>
    <w:rsid w:val="009F2769"/>
    <w:rsid w:val="009F38C4"/>
    <w:rsid w:val="009F4076"/>
    <w:rsid w:val="009F74DB"/>
    <w:rsid w:val="00A10B71"/>
    <w:rsid w:val="00A10E50"/>
    <w:rsid w:val="00A122BE"/>
    <w:rsid w:val="00A170A0"/>
    <w:rsid w:val="00A17CE3"/>
    <w:rsid w:val="00A22B8A"/>
    <w:rsid w:val="00A239EE"/>
    <w:rsid w:val="00A24EB1"/>
    <w:rsid w:val="00A27A12"/>
    <w:rsid w:val="00A54B2A"/>
    <w:rsid w:val="00A5555B"/>
    <w:rsid w:val="00A6714C"/>
    <w:rsid w:val="00A677F4"/>
    <w:rsid w:val="00A747AC"/>
    <w:rsid w:val="00A91BA7"/>
    <w:rsid w:val="00AA250D"/>
    <w:rsid w:val="00AA25B7"/>
    <w:rsid w:val="00AA54EE"/>
    <w:rsid w:val="00AB0295"/>
    <w:rsid w:val="00AB7E65"/>
    <w:rsid w:val="00AC73A7"/>
    <w:rsid w:val="00AD2CF9"/>
    <w:rsid w:val="00AD4B92"/>
    <w:rsid w:val="00AF2661"/>
    <w:rsid w:val="00B04C66"/>
    <w:rsid w:val="00B07260"/>
    <w:rsid w:val="00B10DBE"/>
    <w:rsid w:val="00B1390C"/>
    <w:rsid w:val="00B22374"/>
    <w:rsid w:val="00B231DC"/>
    <w:rsid w:val="00B25A38"/>
    <w:rsid w:val="00B272DD"/>
    <w:rsid w:val="00B425D5"/>
    <w:rsid w:val="00B60635"/>
    <w:rsid w:val="00B65046"/>
    <w:rsid w:val="00B663B4"/>
    <w:rsid w:val="00B7282D"/>
    <w:rsid w:val="00B73207"/>
    <w:rsid w:val="00B85DE4"/>
    <w:rsid w:val="00B93B4E"/>
    <w:rsid w:val="00B93E2C"/>
    <w:rsid w:val="00B95442"/>
    <w:rsid w:val="00B95FCD"/>
    <w:rsid w:val="00BA43BC"/>
    <w:rsid w:val="00BC6937"/>
    <w:rsid w:val="00BD1D49"/>
    <w:rsid w:val="00BD1E2B"/>
    <w:rsid w:val="00BD3EB9"/>
    <w:rsid w:val="00BE2F54"/>
    <w:rsid w:val="00C0080F"/>
    <w:rsid w:val="00C319E3"/>
    <w:rsid w:val="00C327DC"/>
    <w:rsid w:val="00C34D5C"/>
    <w:rsid w:val="00C424AB"/>
    <w:rsid w:val="00C43B7B"/>
    <w:rsid w:val="00C4527A"/>
    <w:rsid w:val="00C4779C"/>
    <w:rsid w:val="00C50CF6"/>
    <w:rsid w:val="00C6066C"/>
    <w:rsid w:val="00C62EE1"/>
    <w:rsid w:val="00C65123"/>
    <w:rsid w:val="00C74CE8"/>
    <w:rsid w:val="00C77967"/>
    <w:rsid w:val="00C87A4D"/>
    <w:rsid w:val="00CA2565"/>
    <w:rsid w:val="00CB560B"/>
    <w:rsid w:val="00CB704E"/>
    <w:rsid w:val="00CD5156"/>
    <w:rsid w:val="00CE702F"/>
    <w:rsid w:val="00CE7EFC"/>
    <w:rsid w:val="00CF1DD3"/>
    <w:rsid w:val="00D01B1C"/>
    <w:rsid w:val="00D01F7C"/>
    <w:rsid w:val="00D03921"/>
    <w:rsid w:val="00D060D7"/>
    <w:rsid w:val="00D12039"/>
    <w:rsid w:val="00D13AA8"/>
    <w:rsid w:val="00D21CB1"/>
    <w:rsid w:val="00D51F5B"/>
    <w:rsid w:val="00D52084"/>
    <w:rsid w:val="00D52A5D"/>
    <w:rsid w:val="00D6014B"/>
    <w:rsid w:val="00D63F1A"/>
    <w:rsid w:val="00D76865"/>
    <w:rsid w:val="00D77AE6"/>
    <w:rsid w:val="00D80D35"/>
    <w:rsid w:val="00D87401"/>
    <w:rsid w:val="00D91802"/>
    <w:rsid w:val="00DA444F"/>
    <w:rsid w:val="00DB3409"/>
    <w:rsid w:val="00DB5779"/>
    <w:rsid w:val="00DB5D8F"/>
    <w:rsid w:val="00DB691F"/>
    <w:rsid w:val="00DB7BCF"/>
    <w:rsid w:val="00DC068B"/>
    <w:rsid w:val="00DD0370"/>
    <w:rsid w:val="00DE30D7"/>
    <w:rsid w:val="00DE3F3C"/>
    <w:rsid w:val="00DF6DB3"/>
    <w:rsid w:val="00DF6E81"/>
    <w:rsid w:val="00E002BA"/>
    <w:rsid w:val="00E041BA"/>
    <w:rsid w:val="00E06C57"/>
    <w:rsid w:val="00E11A0A"/>
    <w:rsid w:val="00E11FED"/>
    <w:rsid w:val="00E16CA8"/>
    <w:rsid w:val="00E31A59"/>
    <w:rsid w:val="00E32515"/>
    <w:rsid w:val="00E36182"/>
    <w:rsid w:val="00E36CC0"/>
    <w:rsid w:val="00E3771C"/>
    <w:rsid w:val="00E37F59"/>
    <w:rsid w:val="00E4511C"/>
    <w:rsid w:val="00E5033D"/>
    <w:rsid w:val="00E504F5"/>
    <w:rsid w:val="00E65811"/>
    <w:rsid w:val="00E827A2"/>
    <w:rsid w:val="00E905FA"/>
    <w:rsid w:val="00E91E80"/>
    <w:rsid w:val="00EA2B36"/>
    <w:rsid w:val="00EB4843"/>
    <w:rsid w:val="00EC191C"/>
    <w:rsid w:val="00EE311B"/>
    <w:rsid w:val="00EE759B"/>
    <w:rsid w:val="00EF24C9"/>
    <w:rsid w:val="00EF4680"/>
    <w:rsid w:val="00F060E6"/>
    <w:rsid w:val="00F12F26"/>
    <w:rsid w:val="00F14ABE"/>
    <w:rsid w:val="00F14F01"/>
    <w:rsid w:val="00F34082"/>
    <w:rsid w:val="00F3481A"/>
    <w:rsid w:val="00F357F2"/>
    <w:rsid w:val="00F4365D"/>
    <w:rsid w:val="00F5668D"/>
    <w:rsid w:val="00F57044"/>
    <w:rsid w:val="00F721B5"/>
    <w:rsid w:val="00F7664F"/>
    <w:rsid w:val="00F92897"/>
    <w:rsid w:val="00FB2F51"/>
    <w:rsid w:val="00FB3B43"/>
    <w:rsid w:val="00FB3CC9"/>
    <w:rsid w:val="00FB4485"/>
    <w:rsid w:val="00FC5467"/>
    <w:rsid w:val="00FD093C"/>
    <w:rsid w:val="00FD394E"/>
    <w:rsid w:val="00FE0888"/>
    <w:rsid w:val="00FE0A5D"/>
    <w:rsid w:val="00FE39EA"/>
    <w:rsid w:val="00FE566A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9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5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5CC"/>
  </w:style>
  <w:style w:type="paragraph" w:styleId="Footer">
    <w:name w:val="footer"/>
    <w:basedOn w:val="Normal"/>
    <w:link w:val="FooterChar"/>
    <w:uiPriority w:val="99"/>
    <w:unhideWhenUsed/>
    <w:rsid w:val="004125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5CC"/>
  </w:style>
  <w:style w:type="paragraph" w:styleId="BalloonText">
    <w:name w:val="Balloon Text"/>
    <w:basedOn w:val="Normal"/>
    <w:link w:val="BalloonTextChar"/>
    <w:uiPriority w:val="99"/>
    <w:semiHidden/>
    <w:unhideWhenUsed/>
    <w:rsid w:val="0041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9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5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5CC"/>
  </w:style>
  <w:style w:type="paragraph" w:styleId="Footer">
    <w:name w:val="footer"/>
    <w:basedOn w:val="Normal"/>
    <w:link w:val="FooterChar"/>
    <w:uiPriority w:val="99"/>
    <w:unhideWhenUsed/>
    <w:rsid w:val="004125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5CC"/>
  </w:style>
  <w:style w:type="paragraph" w:styleId="BalloonText">
    <w:name w:val="Balloon Text"/>
    <w:basedOn w:val="Normal"/>
    <w:link w:val="BalloonTextChar"/>
    <w:uiPriority w:val="99"/>
    <w:semiHidden/>
    <w:unhideWhenUsed/>
    <w:rsid w:val="0041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055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933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696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09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62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625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567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090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859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1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1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8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0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18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8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7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4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3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6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3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5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02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2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9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1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8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257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14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4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051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056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072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56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Animesh Kumar</dc:creator>
  <cp:lastModifiedBy>AB</cp:lastModifiedBy>
  <cp:revision>2</cp:revision>
  <dcterms:created xsi:type="dcterms:W3CDTF">2013-11-28T09:40:00Z</dcterms:created>
  <dcterms:modified xsi:type="dcterms:W3CDTF">2013-11-28T09:40:00Z</dcterms:modified>
</cp:coreProperties>
</file>