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13" w:rsidRDefault="00305D13" w:rsidP="00305D13">
      <w:pPr>
        <w:spacing w:after="0" w:line="240" w:lineRule="auto"/>
        <w:jc w:val="center"/>
        <w:rPr>
          <w:rFonts w:ascii="Verdana" w:hAnsi="Verdana"/>
          <w:b/>
          <w:bCs/>
          <w:kern w:val="36"/>
          <w:lang w:val="fr-CH" w:eastAsia="fr-CH"/>
        </w:rPr>
      </w:pPr>
      <w:r>
        <w:rPr>
          <w:rFonts w:ascii="Verdana" w:hAnsi="Verdana"/>
          <w:b/>
          <w:bCs/>
          <w:kern w:val="36"/>
          <w:lang w:val="fr-CH" w:eastAsia="fr-CH"/>
        </w:rPr>
        <w:t>C</w:t>
      </w:r>
      <w:proofErr w:type="spellStart"/>
      <w:r>
        <w:rPr>
          <w:rFonts w:ascii="Verdana" w:hAnsi="Verdana"/>
          <w:b/>
          <w:bCs/>
          <w:kern w:val="36"/>
          <w:lang w:eastAsia="fr-CH"/>
        </w:rPr>
        <w:t>onférence</w:t>
      </w:r>
      <w:proofErr w:type="spellEnd"/>
      <w:r>
        <w:rPr>
          <w:rFonts w:ascii="Verdana" w:hAnsi="Verdana"/>
          <w:b/>
          <w:bCs/>
          <w:kern w:val="36"/>
          <w:lang w:eastAsia="fr-CH"/>
        </w:rPr>
        <w:t xml:space="preserve"> régionale arabe sur la réduction des risques de catastrophes  </w:t>
      </w:r>
      <w:r w:rsidRPr="00F846FF">
        <w:rPr>
          <w:rFonts w:ascii="Verdana" w:hAnsi="Verdana"/>
          <w:b/>
          <w:bCs/>
          <w:kern w:val="36"/>
          <w:lang w:val="fr-CH" w:eastAsia="fr-CH"/>
        </w:rPr>
        <w:t xml:space="preserve"> </w:t>
      </w:r>
      <w:r>
        <w:rPr>
          <w:rFonts w:ascii="Verdana" w:hAnsi="Verdana"/>
          <w:b/>
          <w:bCs/>
          <w:kern w:val="36"/>
          <w:lang w:val="fr-CH" w:eastAsia="fr-CH"/>
        </w:rPr>
        <w:t>Aqaba</w:t>
      </w:r>
      <w:r w:rsidRPr="00F846FF">
        <w:rPr>
          <w:rFonts w:ascii="Verdana" w:hAnsi="Verdana"/>
          <w:b/>
          <w:bCs/>
          <w:kern w:val="36"/>
          <w:lang w:val="fr-CH" w:eastAsia="fr-CH"/>
        </w:rPr>
        <w:t xml:space="preserve">, </w:t>
      </w:r>
      <w:r>
        <w:rPr>
          <w:rFonts w:ascii="Verdana" w:hAnsi="Verdana"/>
          <w:b/>
          <w:bCs/>
          <w:kern w:val="36"/>
          <w:lang w:val="fr-CH" w:eastAsia="fr-CH"/>
        </w:rPr>
        <w:t>19</w:t>
      </w:r>
      <w:r w:rsidRPr="00F846FF">
        <w:rPr>
          <w:rFonts w:ascii="Verdana" w:hAnsi="Verdana"/>
          <w:b/>
          <w:bCs/>
          <w:kern w:val="36"/>
          <w:lang w:val="fr-CH" w:eastAsia="fr-CH"/>
        </w:rPr>
        <w:t xml:space="preserve"> </w:t>
      </w:r>
      <w:r>
        <w:rPr>
          <w:rFonts w:ascii="Verdana" w:hAnsi="Verdana"/>
          <w:b/>
          <w:bCs/>
          <w:kern w:val="36"/>
          <w:lang w:val="fr-CH" w:eastAsia="fr-CH"/>
        </w:rPr>
        <w:t>mars</w:t>
      </w:r>
      <w:r w:rsidRPr="00F846FF">
        <w:rPr>
          <w:rFonts w:ascii="Verdana" w:hAnsi="Verdana"/>
          <w:b/>
          <w:bCs/>
          <w:kern w:val="36"/>
          <w:lang w:val="fr-CH" w:eastAsia="fr-CH"/>
        </w:rPr>
        <w:t xml:space="preserve"> 2013 </w:t>
      </w:r>
    </w:p>
    <w:p w:rsidR="00305D13" w:rsidRDefault="00305D13" w:rsidP="00305D13">
      <w:pPr>
        <w:spacing w:after="0" w:line="240" w:lineRule="auto"/>
        <w:jc w:val="center"/>
        <w:rPr>
          <w:rFonts w:ascii="Verdana" w:hAnsi="Verdana"/>
          <w:b/>
          <w:bCs/>
          <w:kern w:val="36"/>
          <w:lang w:val="fr-CH" w:eastAsia="fr-CH"/>
        </w:rPr>
      </w:pPr>
    </w:p>
    <w:p w:rsidR="00305D13" w:rsidRPr="00F846FF" w:rsidRDefault="00305D13" w:rsidP="00305D13">
      <w:pPr>
        <w:spacing w:after="0" w:line="240" w:lineRule="auto"/>
        <w:jc w:val="center"/>
        <w:rPr>
          <w:rFonts w:ascii="Verdana" w:hAnsi="Verdana"/>
          <w:b/>
          <w:bCs/>
          <w:kern w:val="36"/>
          <w:lang w:val="fr-CH" w:eastAsia="fr-CH"/>
        </w:rPr>
      </w:pPr>
      <w:r>
        <w:rPr>
          <w:rFonts w:ascii="Verdana" w:hAnsi="Verdana"/>
          <w:b/>
          <w:bCs/>
          <w:kern w:val="36"/>
          <w:lang w:val="fr-CH" w:eastAsia="fr-CH"/>
        </w:rPr>
        <w:t xml:space="preserve">Présentation de la consultation </w:t>
      </w:r>
      <w:proofErr w:type="gramStart"/>
      <w:r>
        <w:rPr>
          <w:rFonts w:ascii="Verdana" w:hAnsi="Verdana"/>
          <w:b/>
          <w:bCs/>
          <w:kern w:val="36"/>
          <w:lang w:val="fr-CH" w:eastAsia="fr-CH"/>
        </w:rPr>
        <w:t>national</w:t>
      </w:r>
      <w:proofErr w:type="gramEnd"/>
      <w:r>
        <w:rPr>
          <w:rFonts w:ascii="Verdana" w:hAnsi="Verdana"/>
          <w:b/>
          <w:bCs/>
          <w:kern w:val="36"/>
          <w:lang w:val="fr-CH" w:eastAsia="fr-CH"/>
        </w:rPr>
        <w:t xml:space="preserve"> sur le cadre post Hyōgo 2015.</w:t>
      </w:r>
    </w:p>
    <w:p w:rsidR="00305D13" w:rsidRDefault="00305D13" w:rsidP="00305D13">
      <w:pPr>
        <w:rPr>
          <w:rFonts w:ascii="Verdana" w:hAnsi="Verdana"/>
          <w:b/>
          <w:bCs/>
        </w:rPr>
      </w:pPr>
    </w:p>
    <w:p w:rsidR="0038680B" w:rsidRPr="0038680B" w:rsidRDefault="00305D13" w:rsidP="0038680B">
      <w:pPr>
        <w:jc w:val="both"/>
        <w:rPr>
          <w:rFonts w:ascii="Verdana" w:hAnsi="Verdana"/>
        </w:rPr>
      </w:pPr>
      <w:r w:rsidRPr="00305D13">
        <w:rPr>
          <w:rFonts w:ascii="Verdana" w:hAnsi="Verdana"/>
        </w:rPr>
        <w:t>En collaboration avec le PNUD et le Bureau arabe des Nations Unies</w:t>
      </w:r>
      <w:r>
        <w:rPr>
          <w:lang w:bidi="ar-DZ"/>
        </w:rPr>
        <w:t xml:space="preserve"> pour la </w:t>
      </w:r>
      <w:r w:rsidRPr="00305D13">
        <w:rPr>
          <w:rFonts w:ascii="Verdana" w:hAnsi="Verdana"/>
        </w:rPr>
        <w:t xml:space="preserve">prévention des risques de </w:t>
      </w:r>
      <w:r w:rsidR="0038680B" w:rsidRPr="00305D13">
        <w:rPr>
          <w:rFonts w:ascii="Verdana" w:hAnsi="Verdana"/>
        </w:rPr>
        <w:t>catastrophes,</w:t>
      </w:r>
      <w:r w:rsidRPr="00305D13">
        <w:rPr>
          <w:rFonts w:ascii="Verdana" w:hAnsi="Verdana"/>
        </w:rPr>
        <w:t xml:space="preserve"> le Ministère des Affaires Etrangères</w:t>
      </w:r>
      <w:r w:rsidRPr="0038680B">
        <w:rPr>
          <w:rFonts w:ascii="Verdana" w:hAnsi="Verdana"/>
        </w:rPr>
        <w:t xml:space="preserve">  a </w:t>
      </w:r>
      <w:r w:rsidR="0038680B" w:rsidRPr="0038680B">
        <w:rPr>
          <w:rFonts w:ascii="Verdana" w:hAnsi="Verdana"/>
        </w:rPr>
        <w:t>organisé,</w:t>
      </w:r>
      <w:r w:rsidR="0038680B">
        <w:rPr>
          <w:rFonts w:ascii="Verdana" w:hAnsi="Verdana"/>
        </w:rPr>
        <w:t xml:space="preserve"> à Alger</w:t>
      </w:r>
      <w:r w:rsidRPr="0038680B">
        <w:rPr>
          <w:rFonts w:ascii="Verdana" w:hAnsi="Verdana"/>
        </w:rPr>
        <w:t xml:space="preserve">, du 17 au 20 février 2013, une consultation nationale sur le cadre post 2015 </w:t>
      </w:r>
      <w:r w:rsidR="0038680B" w:rsidRPr="0038680B">
        <w:rPr>
          <w:rFonts w:ascii="Verdana" w:hAnsi="Verdana"/>
        </w:rPr>
        <w:t xml:space="preserve">sur la réduction des risques et une formation régionale sur la planification de relèvement préalable aux catastrophes. </w:t>
      </w:r>
    </w:p>
    <w:p w:rsidR="0038680B" w:rsidRDefault="0038680B" w:rsidP="0038680B">
      <w:pPr>
        <w:jc w:val="both"/>
        <w:rPr>
          <w:rFonts w:ascii="Verdana" w:hAnsi="Verdana"/>
        </w:rPr>
      </w:pPr>
      <w:r w:rsidRPr="0038680B">
        <w:rPr>
          <w:rFonts w:ascii="Verdana" w:hAnsi="Verdana"/>
        </w:rPr>
        <w:t xml:space="preserve">Pour rappel, la consultation nationale qui s'est tenue durant la journée du 17 février s'inscrit dans le cadre du processus de consultation de la Stratégie Internationale de Prévention des Catastrophes  lancé en 2012 </w:t>
      </w:r>
      <w:r>
        <w:rPr>
          <w:rFonts w:ascii="Verdana" w:hAnsi="Verdana"/>
        </w:rPr>
        <w:t xml:space="preserve">par la Représentante spéciale du SG de l'ONU pour la réduction des risques de catastrophes et le GVT japonais. </w:t>
      </w:r>
    </w:p>
    <w:p w:rsidR="00305D13" w:rsidRDefault="0038680B" w:rsidP="0038680B">
      <w:pPr>
        <w:jc w:val="both"/>
        <w:rPr>
          <w:rFonts w:ascii="Verdana" w:hAnsi="Verdana"/>
        </w:rPr>
      </w:pPr>
      <w:r>
        <w:rPr>
          <w:rFonts w:ascii="Verdana" w:hAnsi="Verdana"/>
        </w:rPr>
        <w:t>Plus de 50 participants de haut niveau engagés dans  la réduction des risques de catastrophes représentant l'ensemble des secteurs concernés, des services techniques, des universités et la société civile.</w:t>
      </w:r>
      <w:r w:rsidR="00305D13" w:rsidRPr="0038680B">
        <w:rPr>
          <w:rFonts w:ascii="Verdana" w:hAnsi="Verdana"/>
        </w:rPr>
        <w:t xml:space="preserve"> </w:t>
      </w:r>
      <w:r>
        <w:rPr>
          <w:rFonts w:ascii="Verdana" w:hAnsi="Verdana"/>
        </w:rPr>
        <w:t xml:space="preserve"> Le but principal de cette consultation était de fournir les éléments  essentiels pour élaborer le cadre post-2015 de la réduction des risques de catastrophes qui succ</w:t>
      </w:r>
      <w:r w:rsidR="00B61551">
        <w:rPr>
          <w:rFonts w:ascii="Verdana" w:hAnsi="Verdana"/>
        </w:rPr>
        <w:t xml:space="preserve">édera à l'actuel cadre de </w:t>
      </w:r>
      <w:proofErr w:type="spellStart"/>
      <w:r w:rsidR="00B61551">
        <w:rPr>
          <w:rFonts w:ascii="Verdana" w:hAnsi="Verdana"/>
        </w:rPr>
        <w:t>Hyogo</w:t>
      </w:r>
      <w:proofErr w:type="spellEnd"/>
      <w:r>
        <w:rPr>
          <w:rFonts w:ascii="Verdana" w:hAnsi="Verdana"/>
        </w:rPr>
        <w:t xml:space="preserve">. </w:t>
      </w:r>
    </w:p>
    <w:p w:rsidR="00B61551" w:rsidRDefault="00B61551" w:rsidP="0038680B">
      <w:pPr>
        <w:jc w:val="both"/>
        <w:rPr>
          <w:rFonts w:ascii="Verdana" w:hAnsi="Verdana"/>
        </w:rPr>
      </w:pPr>
      <w:r>
        <w:rPr>
          <w:rFonts w:ascii="Verdana" w:hAnsi="Verdana"/>
        </w:rPr>
        <w:t xml:space="preserve">Cet événement constitue la première consultation nationale sur le cadre post 2015 organisée  en Afrique du Nord et la deuxième dans le monde arabe après celle organisé au Liban. Elle traduit  l'engagement de l'Algérie pour le processus de la SIPC et l'expérience du pays en matière de réduction des risques de catastrophes. </w:t>
      </w:r>
    </w:p>
    <w:p w:rsidR="005710ED" w:rsidRDefault="00B61551" w:rsidP="0038680B">
      <w:pPr>
        <w:jc w:val="both"/>
        <w:rPr>
          <w:rFonts w:ascii="Verdana" w:hAnsi="Verdana"/>
        </w:rPr>
      </w:pPr>
      <w:r>
        <w:rPr>
          <w:rFonts w:ascii="Verdana" w:hAnsi="Verdana"/>
        </w:rPr>
        <w:t xml:space="preserve">Les travaux se sont déroulés en cinq groupes de travail et ce après deux présentations, l'une effectuée par M. Lard Bernd du Bureau régional du Caire et l'autre par le Directeur du centre nationale de recherche appliquée en génie parasismique.  </w:t>
      </w:r>
      <w:r w:rsidR="005710ED">
        <w:rPr>
          <w:rFonts w:ascii="Verdana" w:hAnsi="Verdana"/>
        </w:rPr>
        <w:t xml:space="preserve">La première présentation portait sur le cadre international et régional pour la réduction des risques de catastrophes et la seconde portait sur les risques majeurs en Algérie et progrès national dans la mise en œuvre du cadre d'action de </w:t>
      </w:r>
      <w:proofErr w:type="spellStart"/>
      <w:r w:rsidR="005710ED">
        <w:rPr>
          <w:rFonts w:ascii="Verdana" w:hAnsi="Verdana"/>
        </w:rPr>
        <w:t>Hyogo</w:t>
      </w:r>
      <w:proofErr w:type="spellEnd"/>
      <w:r w:rsidR="005710ED">
        <w:rPr>
          <w:rFonts w:ascii="Verdana" w:hAnsi="Verdana"/>
        </w:rPr>
        <w:t>.</w:t>
      </w:r>
    </w:p>
    <w:p w:rsidR="005710ED" w:rsidRDefault="005710ED" w:rsidP="0038680B">
      <w:pPr>
        <w:jc w:val="both"/>
        <w:rPr>
          <w:rFonts w:ascii="Verdana" w:hAnsi="Verdana"/>
        </w:rPr>
      </w:pPr>
      <w:r>
        <w:rPr>
          <w:rFonts w:ascii="Verdana" w:hAnsi="Verdana"/>
        </w:rPr>
        <w:t xml:space="preserve">Les cinq groupes de travail ont été dirigés par des facilitateurs qui ont présenté un questionnaire comportant quatre grands Groupes de thèmes : </w:t>
      </w:r>
    </w:p>
    <w:p w:rsidR="005710ED" w:rsidRDefault="005710ED" w:rsidP="0038680B">
      <w:pPr>
        <w:jc w:val="both"/>
        <w:rPr>
          <w:rFonts w:ascii="Verdana" w:hAnsi="Verdana"/>
        </w:rPr>
      </w:pPr>
      <w:r w:rsidRPr="005710ED">
        <w:rPr>
          <w:rFonts w:ascii="Verdana" w:hAnsi="Verdana"/>
          <w:b/>
          <w:bCs/>
        </w:rPr>
        <w:t>Le premier thème est intitulé</w:t>
      </w:r>
      <w:r>
        <w:rPr>
          <w:rFonts w:ascii="Verdana" w:hAnsi="Verdana"/>
        </w:rPr>
        <w:t xml:space="preserve"> : </w:t>
      </w:r>
      <w:r w:rsidRPr="005710ED">
        <w:rPr>
          <w:rFonts w:ascii="Verdana" w:hAnsi="Verdana"/>
          <w:b/>
          <w:bCs/>
        </w:rPr>
        <w:t>cadre d'action de Hyōgo existant</w:t>
      </w:r>
      <w:r>
        <w:rPr>
          <w:rFonts w:ascii="Verdana" w:hAnsi="Verdana"/>
        </w:rPr>
        <w:t xml:space="preserve"> </w:t>
      </w:r>
    </w:p>
    <w:p w:rsidR="005710ED" w:rsidRPr="005710ED" w:rsidRDefault="005710ED" w:rsidP="005710ED">
      <w:pPr>
        <w:pStyle w:val="ListParagraph"/>
        <w:numPr>
          <w:ilvl w:val="1"/>
          <w:numId w:val="1"/>
        </w:numPr>
        <w:jc w:val="both"/>
        <w:rPr>
          <w:rFonts w:ascii="Verdana" w:hAnsi="Verdana"/>
        </w:rPr>
      </w:pPr>
      <w:r w:rsidRPr="005710ED">
        <w:rPr>
          <w:rFonts w:ascii="Verdana" w:hAnsi="Verdana"/>
          <w:b/>
          <w:bCs/>
        </w:rPr>
        <w:lastRenderedPageBreak/>
        <w:t>principales</w:t>
      </w:r>
      <w:r w:rsidRPr="005710ED">
        <w:rPr>
          <w:rFonts w:ascii="Verdana" w:hAnsi="Verdana"/>
        </w:rPr>
        <w:t xml:space="preserve"> réussites (ou réalisations) dans la réduction des risques de catastrophes (RCC) depuis la mise en œuvre </w:t>
      </w:r>
      <w:r w:rsidR="00CC7637">
        <w:rPr>
          <w:rFonts w:ascii="Verdana" w:hAnsi="Verdana"/>
        </w:rPr>
        <w:t xml:space="preserve">du Cadre d'Action de </w:t>
      </w:r>
      <w:proofErr w:type="spellStart"/>
      <w:r w:rsidR="00CC7637">
        <w:rPr>
          <w:rFonts w:ascii="Verdana" w:hAnsi="Verdana"/>
        </w:rPr>
        <w:t>Hyogo</w:t>
      </w:r>
      <w:proofErr w:type="spellEnd"/>
      <w:r w:rsidR="00CC7637">
        <w:rPr>
          <w:rFonts w:ascii="Verdana" w:hAnsi="Verdana"/>
        </w:rPr>
        <w:t xml:space="preserve"> (</w:t>
      </w:r>
      <w:r w:rsidRPr="005710ED">
        <w:rPr>
          <w:rFonts w:ascii="Verdana" w:hAnsi="Verdana"/>
        </w:rPr>
        <w:t>CAH) en 2005;</w:t>
      </w:r>
    </w:p>
    <w:p w:rsidR="005710ED" w:rsidRDefault="00CC7637" w:rsidP="005710ED">
      <w:pPr>
        <w:pStyle w:val="ListParagraph"/>
        <w:numPr>
          <w:ilvl w:val="1"/>
          <w:numId w:val="1"/>
        </w:numPr>
        <w:jc w:val="both"/>
        <w:rPr>
          <w:rFonts w:ascii="Verdana" w:hAnsi="Verdana"/>
        </w:rPr>
      </w:pPr>
      <w:r>
        <w:rPr>
          <w:rFonts w:ascii="Verdana" w:hAnsi="Verdana"/>
          <w:b/>
          <w:bCs/>
        </w:rPr>
        <w:t>les moyens qui ont permis cette réussite :</w:t>
      </w:r>
    </w:p>
    <w:p w:rsidR="00CC7637" w:rsidRPr="005710ED" w:rsidRDefault="00CC7637" w:rsidP="005710ED">
      <w:pPr>
        <w:pStyle w:val="ListParagraph"/>
        <w:numPr>
          <w:ilvl w:val="1"/>
          <w:numId w:val="1"/>
        </w:numPr>
        <w:jc w:val="both"/>
        <w:rPr>
          <w:rFonts w:ascii="Verdana" w:hAnsi="Verdana"/>
        </w:rPr>
      </w:pPr>
      <w:r>
        <w:rPr>
          <w:rFonts w:ascii="Verdana" w:hAnsi="Verdana"/>
        </w:rPr>
        <w:t xml:space="preserve">l'agenda du développement post 2015 (post OMD) et objectifs de développement durable proposés relatifs à la question des catastrophes; </w:t>
      </w:r>
    </w:p>
    <w:p w:rsidR="00CC7637" w:rsidRDefault="00CC7637" w:rsidP="0038680B">
      <w:pPr>
        <w:jc w:val="both"/>
        <w:rPr>
          <w:rFonts w:ascii="Verdana" w:hAnsi="Verdana"/>
        </w:rPr>
      </w:pPr>
      <w:r>
        <w:rPr>
          <w:rFonts w:ascii="Verdana" w:hAnsi="Verdana"/>
        </w:rPr>
        <w:t>II/</w:t>
      </w:r>
      <w:r w:rsidR="005710ED">
        <w:rPr>
          <w:rFonts w:ascii="Verdana" w:hAnsi="Verdana"/>
        </w:rPr>
        <w:t xml:space="preserve"> </w:t>
      </w:r>
      <w:r>
        <w:rPr>
          <w:rFonts w:ascii="Verdana" w:hAnsi="Verdana"/>
        </w:rPr>
        <w:t>: questions  importantes soulevées dans l'examen à mi – parcours du CAH et résultats des premières consultations.</w:t>
      </w:r>
    </w:p>
    <w:p w:rsidR="00CC7637" w:rsidRDefault="00CC7637" w:rsidP="0038680B">
      <w:pPr>
        <w:jc w:val="both"/>
        <w:rPr>
          <w:rFonts w:ascii="Verdana" w:hAnsi="Verdana"/>
        </w:rPr>
      </w:pPr>
    </w:p>
    <w:p w:rsidR="00CC7637" w:rsidRDefault="00CC7637" w:rsidP="0038680B">
      <w:pPr>
        <w:jc w:val="both"/>
        <w:rPr>
          <w:rFonts w:ascii="Verdana" w:hAnsi="Verdana"/>
        </w:rPr>
      </w:pPr>
      <w:r>
        <w:rPr>
          <w:rFonts w:ascii="Verdana" w:hAnsi="Verdana"/>
        </w:rPr>
        <w:t>2.1 Actions sur l'intégration de la RCC dans la planification du développement ;</w:t>
      </w:r>
    </w:p>
    <w:p w:rsidR="0038680B" w:rsidRDefault="00CC7637" w:rsidP="0038680B">
      <w:pPr>
        <w:jc w:val="both"/>
        <w:rPr>
          <w:rFonts w:ascii="Verdana" w:hAnsi="Verdana"/>
        </w:rPr>
      </w:pPr>
      <w:r>
        <w:rPr>
          <w:rFonts w:ascii="Verdana" w:hAnsi="Verdana"/>
        </w:rPr>
        <w:t xml:space="preserve">2.2  Progrès réalisés par le Gouvernement pour lier la RRC </w:t>
      </w:r>
      <w:r w:rsidR="005710ED">
        <w:rPr>
          <w:rFonts w:ascii="Verdana" w:hAnsi="Verdana"/>
        </w:rPr>
        <w:t xml:space="preserve"> </w:t>
      </w:r>
      <w:r>
        <w:rPr>
          <w:rFonts w:ascii="Verdana" w:hAnsi="Verdana"/>
        </w:rPr>
        <w:t>à l'adaptation au changement climatique;</w:t>
      </w:r>
    </w:p>
    <w:p w:rsidR="00CC7637" w:rsidRDefault="00CC7637" w:rsidP="0038680B">
      <w:pPr>
        <w:jc w:val="both"/>
        <w:rPr>
          <w:rFonts w:ascii="Verdana" w:hAnsi="Verdana"/>
        </w:rPr>
      </w:pPr>
      <w:r>
        <w:rPr>
          <w:rFonts w:ascii="Verdana" w:hAnsi="Verdana"/>
        </w:rPr>
        <w:t>2.3 Identification des bonnes pratiques en matière d'utilisation des sols ;</w:t>
      </w:r>
    </w:p>
    <w:p w:rsidR="00CC7637" w:rsidRDefault="00CC7637" w:rsidP="0038680B">
      <w:pPr>
        <w:jc w:val="both"/>
        <w:rPr>
          <w:rFonts w:ascii="Verdana" w:hAnsi="Verdana"/>
        </w:rPr>
      </w:pPr>
      <w:r>
        <w:rPr>
          <w:rFonts w:ascii="Verdana" w:hAnsi="Verdana"/>
        </w:rPr>
        <w:t xml:space="preserve">2.4 Mesures prises en Algérie pour renforcer la résilience des hôpitaux et dés écoles face aux catastrophes; </w:t>
      </w:r>
    </w:p>
    <w:p w:rsidR="00CC7637" w:rsidRPr="00CC7637" w:rsidRDefault="00CC7637" w:rsidP="0038680B">
      <w:pPr>
        <w:jc w:val="both"/>
        <w:rPr>
          <w:rFonts w:ascii="Verdana" w:hAnsi="Verdana"/>
          <w:b/>
          <w:bCs/>
        </w:rPr>
      </w:pPr>
      <w:r w:rsidRPr="00CC7637">
        <w:rPr>
          <w:rFonts w:ascii="Verdana" w:hAnsi="Verdana"/>
          <w:b/>
          <w:bCs/>
        </w:rPr>
        <w:t>III/ éléments importants pour l'avenir de la RRC</w:t>
      </w:r>
    </w:p>
    <w:p w:rsidR="00CC7637" w:rsidRDefault="00CC7637" w:rsidP="0038680B">
      <w:pPr>
        <w:jc w:val="both"/>
        <w:rPr>
          <w:rFonts w:ascii="Verdana" w:hAnsi="Verdana"/>
        </w:rPr>
      </w:pPr>
      <w:r>
        <w:rPr>
          <w:rFonts w:ascii="Verdana" w:hAnsi="Verdana"/>
        </w:rPr>
        <w:t xml:space="preserve">3.1 Approches permettant le progrès sur la RRC </w:t>
      </w:r>
    </w:p>
    <w:p w:rsidR="00CC7637" w:rsidRDefault="00CC7637" w:rsidP="0038680B">
      <w:pPr>
        <w:jc w:val="both"/>
        <w:rPr>
          <w:rFonts w:ascii="Verdana" w:hAnsi="Verdana"/>
        </w:rPr>
      </w:pPr>
      <w:r>
        <w:rPr>
          <w:rFonts w:ascii="Verdana" w:hAnsi="Verdana"/>
        </w:rPr>
        <w:t xml:space="preserve">3.2 Moyens d'intégration d'une plus grande </w:t>
      </w:r>
      <w:proofErr w:type="spellStart"/>
      <w:r>
        <w:rPr>
          <w:rFonts w:ascii="Verdana" w:hAnsi="Verdana"/>
        </w:rPr>
        <w:t>redevabilité</w:t>
      </w:r>
      <w:proofErr w:type="spellEnd"/>
      <w:r>
        <w:rPr>
          <w:rFonts w:ascii="Verdana" w:hAnsi="Verdana"/>
        </w:rPr>
        <w:t xml:space="preserve"> (responsabilité) dans la RRC</w:t>
      </w:r>
    </w:p>
    <w:p w:rsidR="00C34849" w:rsidRDefault="00CC7637" w:rsidP="0038680B">
      <w:pPr>
        <w:jc w:val="both"/>
        <w:rPr>
          <w:rFonts w:ascii="Verdana" w:hAnsi="Verdana"/>
        </w:rPr>
      </w:pPr>
      <w:r>
        <w:rPr>
          <w:rFonts w:ascii="Verdana" w:hAnsi="Verdana"/>
        </w:rPr>
        <w:t xml:space="preserve">3.3 </w:t>
      </w:r>
      <w:proofErr w:type="gramStart"/>
      <w:r>
        <w:rPr>
          <w:rFonts w:ascii="Verdana" w:hAnsi="Verdana"/>
        </w:rPr>
        <w:t>les</w:t>
      </w:r>
      <w:proofErr w:type="gramEnd"/>
      <w:r>
        <w:rPr>
          <w:rFonts w:ascii="Verdana" w:hAnsi="Verdana"/>
        </w:rPr>
        <w:t xml:space="preserve"> trois principaux éléments importants qui </w:t>
      </w:r>
      <w:r w:rsidR="00C34849">
        <w:rPr>
          <w:rFonts w:ascii="Verdana" w:hAnsi="Verdana"/>
        </w:rPr>
        <w:t>devraient</w:t>
      </w:r>
      <w:r>
        <w:rPr>
          <w:rFonts w:ascii="Verdana" w:hAnsi="Verdana"/>
        </w:rPr>
        <w:t xml:space="preserve"> </w:t>
      </w:r>
      <w:r w:rsidR="00C34849">
        <w:rPr>
          <w:rFonts w:ascii="Verdana" w:hAnsi="Verdana"/>
        </w:rPr>
        <w:t>être</w:t>
      </w:r>
      <w:r>
        <w:rPr>
          <w:rFonts w:ascii="Verdana" w:hAnsi="Verdana"/>
        </w:rPr>
        <w:t xml:space="preserve"> abordés dans le cadre post </w:t>
      </w:r>
      <w:r w:rsidR="00C34849">
        <w:rPr>
          <w:rFonts w:ascii="Verdana" w:hAnsi="Verdana"/>
        </w:rPr>
        <w:t xml:space="preserve">2015 pour la RCC </w:t>
      </w:r>
    </w:p>
    <w:p w:rsidR="00C34849" w:rsidRDefault="00C34849" w:rsidP="0038680B">
      <w:pPr>
        <w:jc w:val="both"/>
        <w:rPr>
          <w:rFonts w:ascii="Verdana" w:hAnsi="Verdana"/>
        </w:rPr>
      </w:pPr>
      <w:r>
        <w:rPr>
          <w:rFonts w:ascii="Verdana" w:hAnsi="Verdana"/>
        </w:rPr>
        <w:t>3.4 cadre Post 2015 proposé</w:t>
      </w:r>
    </w:p>
    <w:p w:rsidR="00C34849" w:rsidRPr="00C34849" w:rsidRDefault="00C34849" w:rsidP="0038680B">
      <w:pPr>
        <w:jc w:val="both"/>
        <w:rPr>
          <w:rFonts w:ascii="Verdana" w:hAnsi="Verdana"/>
          <w:b/>
          <w:bCs/>
        </w:rPr>
      </w:pPr>
      <w:r w:rsidRPr="00C34849">
        <w:rPr>
          <w:rFonts w:ascii="Verdana" w:hAnsi="Verdana"/>
          <w:b/>
          <w:bCs/>
        </w:rPr>
        <w:t xml:space="preserve">VI Méthodologie et processus de consultation sur le cadre post 2015 pour la RRC </w:t>
      </w:r>
    </w:p>
    <w:p w:rsidR="00C34849" w:rsidRDefault="00C34849" w:rsidP="0038680B">
      <w:pPr>
        <w:jc w:val="both"/>
        <w:rPr>
          <w:rFonts w:ascii="Verdana" w:hAnsi="Verdana"/>
        </w:rPr>
      </w:pPr>
      <w:r>
        <w:rPr>
          <w:rFonts w:ascii="Verdana" w:hAnsi="Verdana"/>
        </w:rPr>
        <w:t xml:space="preserve">4.1 Éléments clés manquants dans le processus de consultation nationale </w:t>
      </w:r>
    </w:p>
    <w:p w:rsidR="00CC7637" w:rsidRDefault="00C34849" w:rsidP="0038680B">
      <w:pPr>
        <w:jc w:val="both"/>
        <w:rPr>
          <w:rFonts w:ascii="Verdana" w:hAnsi="Verdana"/>
        </w:rPr>
      </w:pPr>
      <w:r>
        <w:rPr>
          <w:rFonts w:ascii="Verdana" w:hAnsi="Verdana"/>
        </w:rPr>
        <w:t xml:space="preserve">4.2 </w:t>
      </w:r>
      <w:proofErr w:type="gramStart"/>
      <w:r>
        <w:rPr>
          <w:rFonts w:ascii="Verdana" w:hAnsi="Verdana"/>
        </w:rPr>
        <w:t>opportunité</w:t>
      </w:r>
      <w:proofErr w:type="gramEnd"/>
      <w:r>
        <w:rPr>
          <w:rFonts w:ascii="Verdana" w:hAnsi="Verdana"/>
        </w:rPr>
        <w:t xml:space="preserve"> et défis dans le processus national de consultation. </w:t>
      </w:r>
      <w:r w:rsidR="00CC7637">
        <w:rPr>
          <w:rFonts w:ascii="Verdana" w:hAnsi="Verdana"/>
        </w:rPr>
        <w:t xml:space="preserve"> </w:t>
      </w:r>
    </w:p>
    <w:p w:rsidR="005710ED" w:rsidRDefault="00FD3EBC" w:rsidP="0038680B">
      <w:pPr>
        <w:jc w:val="both"/>
        <w:rPr>
          <w:rFonts w:ascii="Verdana" w:hAnsi="Verdana"/>
        </w:rPr>
      </w:pPr>
      <w:r>
        <w:rPr>
          <w:rFonts w:ascii="Verdana" w:hAnsi="Verdana"/>
        </w:rPr>
        <w:t xml:space="preserve">Les recommandations issues de cette consultation </w:t>
      </w:r>
      <w:proofErr w:type="gramStart"/>
      <w:r>
        <w:rPr>
          <w:rFonts w:ascii="Verdana" w:hAnsi="Verdana"/>
        </w:rPr>
        <w:t>national</w:t>
      </w:r>
      <w:proofErr w:type="gramEnd"/>
      <w:r>
        <w:rPr>
          <w:rFonts w:ascii="Verdana" w:hAnsi="Verdana"/>
        </w:rPr>
        <w:t xml:space="preserve"> seront présentés par ma collègue de la DGPC. </w:t>
      </w:r>
    </w:p>
    <w:p w:rsidR="00FD3EBC" w:rsidRDefault="00FD3EBC" w:rsidP="0038680B">
      <w:pPr>
        <w:jc w:val="both"/>
        <w:rPr>
          <w:rFonts w:ascii="Verdana" w:hAnsi="Verdana"/>
        </w:rPr>
      </w:pPr>
      <w:r>
        <w:rPr>
          <w:rFonts w:ascii="Verdana" w:hAnsi="Verdana"/>
        </w:rPr>
        <w:t xml:space="preserve">Il ya lieu de signaler que cette consultation était suivie par un atelier de formation de trois jours  sur la planification du recouvrement </w:t>
      </w:r>
      <w:proofErr w:type="spellStart"/>
      <w:r>
        <w:rPr>
          <w:rFonts w:ascii="Verdana" w:hAnsi="Verdana"/>
        </w:rPr>
        <w:t>pre</w:t>
      </w:r>
      <w:proofErr w:type="spellEnd"/>
      <w:r>
        <w:rPr>
          <w:rFonts w:ascii="Verdana" w:hAnsi="Verdana"/>
        </w:rPr>
        <w:t xml:space="preserve"> catastrophe  organisé par l'UNISDR  et le PNUD  avec le soutien de </w:t>
      </w:r>
      <w:proofErr w:type="spellStart"/>
      <w:r>
        <w:rPr>
          <w:rFonts w:ascii="Verdana" w:hAnsi="Verdana"/>
        </w:rPr>
        <w:t>inetrna</w:t>
      </w:r>
      <w:r w:rsidR="0094459C">
        <w:rPr>
          <w:rFonts w:ascii="Verdana" w:hAnsi="Verdana"/>
        </w:rPr>
        <w:t>tional</w:t>
      </w:r>
      <w:proofErr w:type="spellEnd"/>
      <w:r w:rsidR="0094459C">
        <w:rPr>
          <w:rFonts w:ascii="Verdana" w:hAnsi="Verdana"/>
        </w:rPr>
        <w:t xml:space="preserve"> </w:t>
      </w:r>
      <w:proofErr w:type="spellStart"/>
      <w:r w:rsidR="0094459C">
        <w:rPr>
          <w:rFonts w:ascii="Verdana" w:hAnsi="Verdana"/>
        </w:rPr>
        <w:t>recovry</w:t>
      </w:r>
      <w:proofErr w:type="spellEnd"/>
      <w:r w:rsidR="0094459C">
        <w:rPr>
          <w:rFonts w:ascii="Verdana" w:hAnsi="Verdana"/>
        </w:rPr>
        <w:t xml:space="preserve"> </w:t>
      </w:r>
      <w:proofErr w:type="spellStart"/>
      <w:r w:rsidR="0094459C">
        <w:rPr>
          <w:rFonts w:ascii="Verdana" w:hAnsi="Verdana"/>
        </w:rPr>
        <w:t>platform</w:t>
      </w:r>
      <w:proofErr w:type="spellEnd"/>
      <w:r w:rsidR="0094459C">
        <w:rPr>
          <w:rFonts w:ascii="Verdana" w:hAnsi="Verdana"/>
        </w:rPr>
        <w:t xml:space="preserve"> de Kobe</w:t>
      </w:r>
      <w:r>
        <w:rPr>
          <w:rFonts w:ascii="Verdana" w:hAnsi="Verdana"/>
        </w:rPr>
        <w:t xml:space="preserve">, Japon. 45 participants ont pris </w:t>
      </w:r>
      <w:r>
        <w:rPr>
          <w:rFonts w:ascii="Verdana" w:hAnsi="Verdana"/>
        </w:rPr>
        <w:lastRenderedPageBreak/>
        <w:t xml:space="preserve">part à cette </w:t>
      </w:r>
      <w:proofErr w:type="gramStart"/>
      <w:r>
        <w:rPr>
          <w:rFonts w:ascii="Verdana" w:hAnsi="Verdana"/>
        </w:rPr>
        <w:t>formation ,</w:t>
      </w:r>
      <w:proofErr w:type="gramEnd"/>
      <w:r>
        <w:rPr>
          <w:rFonts w:ascii="Verdana" w:hAnsi="Verdana"/>
        </w:rPr>
        <w:t xml:space="preserve"> et des points focaux des Comores , de Mauritanie, du Maroc et de Tunisie  ont pris part à cet atelier. </w:t>
      </w:r>
    </w:p>
    <w:p w:rsidR="0094459C" w:rsidRDefault="0094459C" w:rsidP="0038680B">
      <w:pPr>
        <w:jc w:val="both"/>
        <w:rPr>
          <w:rFonts w:ascii="Verdana" w:hAnsi="Verdana"/>
        </w:rPr>
      </w:pPr>
      <w:r>
        <w:rPr>
          <w:rFonts w:ascii="Verdana" w:hAnsi="Verdana"/>
        </w:rPr>
        <w:t>Les recommandations adoptées par les groupes de travail lors cette consultation nationale, serviront comme document de base pour la délégation algérienne qui prendra part à la 4</w:t>
      </w:r>
      <w:r w:rsidRPr="0094459C">
        <w:rPr>
          <w:rFonts w:ascii="Verdana" w:hAnsi="Verdana"/>
          <w:vertAlign w:val="superscript"/>
        </w:rPr>
        <w:t>ème</w:t>
      </w:r>
      <w:r>
        <w:rPr>
          <w:rFonts w:ascii="Verdana" w:hAnsi="Verdana"/>
        </w:rPr>
        <w:t xml:space="preserve"> session de la Plateforme mondiale pour la réduction des Risques de Catastrophes en mai prochain à Genève. </w:t>
      </w:r>
    </w:p>
    <w:p w:rsidR="005710ED" w:rsidRPr="0038680B" w:rsidRDefault="005710ED" w:rsidP="0038680B">
      <w:pPr>
        <w:jc w:val="both"/>
        <w:rPr>
          <w:rFonts w:ascii="Verdana" w:hAnsi="Verdana" w:hint="cs"/>
          <w:rtl/>
        </w:rPr>
      </w:pPr>
    </w:p>
    <w:sectPr w:rsidR="005710ED" w:rsidRPr="0038680B" w:rsidSect="005E43A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3002"/>
    <w:multiLevelType w:val="multilevel"/>
    <w:tmpl w:val="D7D0DC3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E93"/>
    <w:rsid w:val="000F57B3"/>
    <w:rsid w:val="00305D13"/>
    <w:rsid w:val="0038680B"/>
    <w:rsid w:val="005710ED"/>
    <w:rsid w:val="005E43A1"/>
    <w:rsid w:val="0094459C"/>
    <w:rsid w:val="00B61551"/>
    <w:rsid w:val="00C34849"/>
    <w:rsid w:val="00CC7637"/>
    <w:rsid w:val="00D167D3"/>
    <w:rsid w:val="00D21E93"/>
    <w:rsid w:val="00FD3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13"/>
    <w:rPr>
      <w:rFonts w:ascii="Calibri" w:eastAsia="Times New Roman" w:hAnsi="Calibri"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ED"/>
    <w:pPr>
      <w:ind w:left="720"/>
      <w:contextualSpacing/>
    </w:pPr>
  </w:style>
</w:styles>
</file>

<file path=word/webSettings.xml><?xml version="1.0" encoding="utf-8"?>
<w:webSettings xmlns:r="http://schemas.openxmlformats.org/officeDocument/2006/relationships" xmlns:w="http://schemas.openxmlformats.org/wordprocessingml/2006/main">
  <w:divs>
    <w:div w:id="988051995">
      <w:bodyDiv w:val="1"/>
      <w:marLeft w:val="0"/>
      <w:marRight w:val="0"/>
      <w:marTop w:val="0"/>
      <w:marBottom w:val="0"/>
      <w:divBdr>
        <w:top w:val="none" w:sz="0" w:space="0" w:color="auto"/>
        <w:left w:val="none" w:sz="0" w:space="0" w:color="auto"/>
        <w:bottom w:val="none" w:sz="0" w:space="0" w:color="auto"/>
        <w:right w:val="none" w:sz="0" w:space="0" w:color="auto"/>
      </w:divBdr>
      <w:divsChild>
        <w:div w:id="93115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2</cp:revision>
  <dcterms:created xsi:type="dcterms:W3CDTF">2013-03-16T16:48:00Z</dcterms:created>
  <dcterms:modified xsi:type="dcterms:W3CDTF">2013-03-16T18:43:00Z</dcterms:modified>
</cp:coreProperties>
</file>