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B6" w:rsidRDefault="00B20963">
      <w:r>
        <w:rPr>
          <w:noProof/>
          <w:lang w:val="en-AU" w:eastAsia="en-AU"/>
        </w:rPr>
        <w:drawing>
          <wp:anchor distT="0" distB="0" distL="114300" distR="114300" simplePos="0" relativeHeight="251651072" behindDoc="0" locked="0" layoutInCell="1" allowOverlap="1">
            <wp:simplePos x="0" y="0"/>
            <wp:positionH relativeFrom="margin">
              <wp:align>right</wp:align>
            </wp:positionH>
            <wp:positionV relativeFrom="margin">
              <wp:align>top</wp:align>
            </wp:positionV>
            <wp:extent cx="1320165" cy="890270"/>
            <wp:effectExtent l="0" t="0" r="0" b="5080"/>
            <wp:wrapSquare wrapText="bothSides"/>
            <wp:docPr id="6" name="Image 2" descr="LOGO GA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GAR13"/>
                    <pic:cNvPicPr>
                      <a:picLocks noChangeAspect="1" noChangeArrowheads="1"/>
                    </pic:cNvPicPr>
                  </pic:nvPicPr>
                  <pic:blipFill>
                    <a:blip r:embed="rId9">
                      <a:extLst>
                        <a:ext uri="{28A0092B-C50C-407E-A947-70E740481C1C}">
                          <a14:useLocalDpi xmlns:a14="http://schemas.microsoft.com/office/drawing/2010/main" val="0"/>
                        </a:ext>
                      </a:extLst>
                    </a:blip>
                    <a:srcRect b="26149"/>
                    <a:stretch>
                      <a:fillRect/>
                    </a:stretch>
                  </pic:blipFill>
                  <pic:spPr bwMode="auto">
                    <a:xfrm>
                      <a:off x="0" y="0"/>
                      <a:ext cx="1320165" cy="890270"/>
                    </a:xfrm>
                    <a:prstGeom prst="rect">
                      <a:avLst/>
                    </a:prstGeom>
                    <a:noFill/>
                  </pic:spPr>
                </pic:pic>
              </a:graphicData>
            </a:graphic>
            <wp14:sizeRelH relativeFrom="page">
              <wp14:pctWidth>0</wp14:pctWidth>
            </wp14:sizeRelH>
            <wp14:sizeRelV relativeFrom="page">
              <wp14:pctHeight>0</wp14:pctHeight>
            </wp14:sizeRelV>
          </wp:anchor>
        </w:drawing>
      </w:r>
    </w:p>
    <w:p w:rsidR="00734EB6" w:rsidRDefault="00B20963">
      <w:r>
        <w:rPr>
          <w:noProof/>
          <w:lang w:val="en-AU" w:eastAsia="en-AU"/>
        </w:rPr>
        <w:drawing>
          <wp:anchor distT="0" distB="0" distL="114300" distR="114300" simplePos="0" relativeHeight="251650048" behindDoc="0" locked="0" layoutInCell="1" allowOverlap="1">
            <wp:simplePos x="0" y="0"/>
            <wp:positionH relativeFrom="margin">
              <wp:align>left</wp:align>
            </wp:positionH>
            <wp:positionV relativeFrom="margin">
              <wp:align>top</wp:align>
            </wp:positionV>
            <wp:extent cx="2298700" cy="762000"/>
            <wp:effectExtent l="0" t="0" r="6350" b="0"/>
            <wp:wrapSquare wrapText="bothSides"/>
            <wp:docPr id="5" name="Image 1" descr="logo-UNISDR-bk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UNISDR-bkpap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margin">
                  <wp:align>bottom</wp:align>
                </wp:positionV>
                <wp:extent cx="3467735" cy="310515"/>
                <wp:effectExtent l="0" t="0" r="0" b="0"/>
                <wp:wrapSquare wrapText="bothSides"/>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9BB" w:rsidRDefault="000C19BB" w:rsidP="0004507F">
                            <w:pPr>
                              <w:jc w:val="center"/>
                              <w:rPr>
                                <w:rFonts w:cs="Tahoma"/>
                              </w:rPr>
                            </w:pPr>
                            <w:r>
                              <w:rPr>
                                <w:rFonts w:cs="Tahoma"/>
                              </w:rPr>
                              <w:t>March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273.05pt;height:24.45pt;z-index:25165721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MPgwIAABA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" stroked="f">
                <v:textbox>
                  <w:txbxContent>
                    <w:p w:rsidR="000C19BB" w:rsidRDefault="000C19BB" w:rsidP="0004507F">
                      <w:pPr>
                        <w:jc w:val="center"/>
                        <w:rPr>
                          <w:rFonts w:cs="Tahoma"/>
                        </w:rPr>
                      </w:pPr>
                      <w:r>
                        <w:rPr>
                          <w:rFonts w:cs="Tahoma"/>
                        </w:rPr>
                        <w:t>March 2014</w:t>
                      </w:r>
                    </w:p>
                  </w:txbxContent>
                </v:textbox>
                <w10:wrap type="square" anchorx="margin" anchory="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B20963" w:rsidP="004A06FC">
      <w:r>
        <w:rPr>
          <w:noProof/>
          <w:lang w:val="en-AU" w:eastAsia="en-AU"/>
        </w:rPr>
        <mc:AlternateContent>
          <mc:Choice Requires="wps">
            <w:drawing>
              <wp:anchor distT="0" distB="0" distL="114300" distR="114300" simplePos="0" relativeHeight="251665408" behindDoc="0" locked="0" layoutInCell="1" allowOverlap="1" wp14:anchorId="6E0C4C72" wp14:editId="68DDB36A">
                <wp:simplePos x="0" y="0"/>
                <wp:positionH relativeFrom="margin">
                  <wp:posOffset>685800</wp:posOffset>
                </wp:positionH>
                <wp:positionV relativeFrom="paragraph">
                  <wp:posOffset>246380</wp:posOffset>
                </wp:positionV>
                <wp:extent cx="4636135" cy="47752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13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9BB" w:rsidRPr="007D0BAF" w:rsidRDefault="000C19BB" w:rsidP="007D0BAF">
                            <w:pPr>
                              <w:jc w:val="center"/>
                              <w:rPr>
                                <w:rFonts w:cs="Tahoma"/>
                                <w:smallCaps/>
                                <w:sz w:val="28"/>
                                <w:lang w:val="en-GB"/>
                              </w:rPr>
                            </w:pPr>
                            <w:r w:rsidRPr="007D0BAF">
                              <w:rPr>
                                <w:rFonts w:cs="Tahoma"/>
                                <w:smallCaps/>
                                <w:sz w:val="28"/>
                                <w:lang w:val="en-GB"/>
                              </w:rPr>
                              <w:t xml:space="preserve">Input Paper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54pt;margin-top:19.4pt;width:365.05pt;height:3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Echw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" stroked="f">
                <v:textbox>
                  <w:txbxContent>
                    <w:p w:rsidR="000C19BB" w:rsidRPr="007D0BAF" w:rsidRDefault="000C19BB" w:rsidP="007D0BAF">
                      <w:pPr>
                        <w:jc w:val="center"/>
                        <w:rPr>
                          <w:rFonts w:cs="Tahoma"/>
                          <w:smallCaps/>
                          <w:sz w:val="28"/>
                          <w:lang w:val="en-GB"/>
                        </w:rPr>
                      </w:pPr>
                      <w:r w:rsidRPr="007D0BAF">
                        <w:rPr>
                          <w:rFonts w:cs="Tahoma"/>
                          <w:smallCaps/>
                          <w:sz w:val="28"/>
                          <w:lang w:val="en-GB"/>
                        </w:rPr>
                        <w:t xml:space="preserve">Input Paper </w:t>
                      </w:r>
                    </w:p>
                  </w:txbxContent>
                </v:textbox>
                <w10:wrap anchorx="margin"/>
              </v:shape>
            </w:pict>
          </mc:Fallback>
        </mc:AlternateContent>
      </w:r>
    </w:p>
    <w:p w:rsidR="00734EB6" w:rsidRPr="004A06FC" w:rsidRDefault="00734EB6" w:rsidP="004A06FC"/>
    <w:p w:rsidR="00734EB6" w:rsidRPr="004A06FC" w:rsidRDefault="00B20963" w:rsidP="004A06FC">
      <w:r>
        <w:rPr>
          <w:noProof/>
          <w:lang w:val="en-AU" w:eastAsia="en-AU"/>
        </w:rPr>
        <mc:AlternateContent>
          <mc:Choice Requires="wps">
            <w:drawing>
              <wp:anchor distT="0" distB="0" distL="114300" distR="114300" simplePos="0" relativeHeight="251656192" behindDoc="0" locked="0" layoutInCell="1" allowOverlap="1" wp14:anchorId="1C38C90B" wp14:editId="4985752D">
                <wp:simplePos x="0" y="0"/>
                <wp:positionH relativeFrom="margin">
                  <wp:posOffset>405130</wp:posOffset>
                </wp:positionH>
                <wp:positionV relativeFrom="paragraph">
                  <wp:posOffset>269875</wp:posOffset>
                </wp:positionV>
                <wp:extent cx="4966970" cy="477520"/>
                <wp:effectExtent l="0" t="0" r="508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97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9BB" w:rsidRPr="004A06FC" w:rsidRDefault="000C19BB" w:rsidP="007D0BAF">
                            <w:pPr>
                              <w:jc w:val="center"/>
                              <w:rPr>
                                <w:rFonts w:cs="Tahoma"/>
                                <w:lang w:val="en-GB"/>
                              </w:rPr>
                            </w:pPr>
                            <w:r>
                              <w:rPr>
                                <w:rFonts w:cs="Tahoma"/>
                                <w:lang w:val="en-GB"/>
                              </w:rPr>
                              <w:t>Pr</w:t>
                            </w:r>
                            <w:r w:rsidRPr="004A06FC">
                              <w:rPr>
                                <w:rFonts w:cs="Tahoma"/>
                                <w:lang w:val="en-GB"/>
                              </w:rPr>
                              <w:t>epared for the Global Assessment Report</w:t>
                            </w:r>
                            <w:r>
                              <w:rPr>
                                <w:rFonts w:cs="Tahoma"/>
                                <w:lang w:val="en-GB"/>
                              </w:rPr>
                              <w:t xml:space="preserve"> on Disaster Risk Reduction 2015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1.9pt;margin-top:21.25pt;width:391.1pt;height:3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pmhQ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" stroked="f">
                <v:textbox>
                  <w:txbxContent>
                    <w:p w:rsidR="000C19BB" w:rsidRPr="004A06FC" w:rsidRDefault="000C19BB" w:rsidP="007D0BAF">
                      <w:pPr>
                        <w:jc w:val="center"/>
                        <w:rPr>
                          <w:rFonts w:cs="Tahoma"/>
                          <w:lang w:val="en-GB"/>
                        </w:rPr>
                      </w:pPr>
                      <w:r>
                        <w:rPr>
                          <w:rFonts w:cs="Tahoma"/>
                          <w:lang w:val="en-GB"/>
                        </w:rPr>
                        <w:t>Pr</w:t>
                      </w:r>
                      <w:r w:rsidRPr="004A06FC">
                        <w:rPr>
                          <w:rFonts w:cs="Tahoma"/>
                          <w:lang w:val="en-GB"/>
                        </w:rPr>
                        <w:t>epared for the Global Assessment Report</w:t>
                      </w:r>
                      <w:r>
                        <w:rPr>
                          <w:rFonts w:cs="Tahoma"/>
                          <w:lang w:val="en-GB"/>
                        </w:rPr>
                        <w:t xml:space="preserve"> on Disaster Risk Reduction 2015 </w:t>
                      </w:r>
                    </w:p>
                  </w:txbxContent>
                </v:textbox>
                <w10:wrap anchorx="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1E75F7" w:rsidP="004A06FC">
      <w:r>
        <w:rPr>
          <w:noProof/>
          <w:lang w:val="en-AU" w:eastAsia="en-AU"/>
        </w:rPr>
        <mc:AlternateContent>
          <mc:Choice Requires="wps">
            <w:drawing>
              <wp:anchor distT="0" distB="0" distL="114300" distR="114300" simplePos="0" relativeHeight="251654144" behindDoc="0" locked="0" layoutInCell="1" allowOverlap="1" wp14:anchorId="412C2A0E" wp14:editId="565627AA">
                <wp:simplePos x="0" y="0"/>
                <wp:positionH relativeFrom="margin">
                  <wp:posOffset>-176530</wp:posOffset>
                </wp:positionH>
                <wp:positionV relativeFrom="paragraph">
                  <wp:posOffset>311150</wp:posOffset>
                </wp:positionV>
                <wp:extent cx="6109335" cy="834390"/>
                <wp:effectExtent l="0" t="0" r="5715" b="381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83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9BB" w:rsidRPr="004A06FC" w:rsidRDefault="000C19BB" w:rsidP="0004507F">
                            <w:pPr>
                              <w:jc w:val="center"/>
                              <w:rPr>
                                <w:rFonts w:eastAsia="SimSun" w:cs="Tahoma"/>
                                <w:b/>
                                <w:bCs/>
                                <w:color w:val="FF0000"/>
                                <w:lang w:val="en-GB" w:eastAsia="zh-CN"/>
                              </w:rPr>
                            </w:pPr>
                            <w:r>
                              <w:rPr>
                                <w:rFonts w:eastAsia="SimSun" w:cs="Tahoma"/>
                                <w:b/>
                                <w:bCs/>
                                <w:lang w:val="en-GB" w:eastAsia="zh-CN"/>
                              </w:rPr>
                              <w:t>A REVIEW OF PROGRESS IN THE INTEGRATION OF DISASTER RISK REDUCTION INTO AUSTRALIAN SCHOOL CURRICULA PROGRAMS AND MATERIALS</w:t>
                            </w:r>
                          </w:p>
                          <w:p w:rsidR="000C19BB" w:rsidRPr="004639A6" w:rsidRDefault="000C19BB" w:rsidP="0004507F">
                            <w:pPr>
                              <w:jc w:val="center"/>
                              <w:rPr>
                                <w:rFonts w:cs="Tahoma"/>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3.9pt;margin-top:24.5pt;width:481.05pt;height:65.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" stroked="f">
                <v:textbox>
                  <w:txbxContent>
                    <w:p w:rsidR="000C19BB" w:rsidRPr="004A06FC" w:rsidRDefault="000C19BB" w:rsidP="0004507F">
                      <w:pPr>
                        <w:jc w:val="center"/>
                        <w:rPr>
                          <w:rFonts w:eastAsia="SimSun" w:cs="Tahoma"/>
                          <w:b/>
                          <w:bCs/>
                          <w:color w:val="FF0000"/>
                          <w:lang w:val="en-GB" w:eastAsia="zh-CN"/>
                        </w:rPr>
                      </w:pPr>
                      <w:r>
                        <w:rPr>
                          <w:rFonts w:eastAsia="SimSun" w:cs="Tahoma"/>
                          <w:b/>
                          <w:bCs/>
                          <w:lang w:val="en-GB" w:eastAsia="zh-CN"/>
                        </w:rPr>
                        <w:t>A REVIEW OF PROGRESS IN THE INTEGRATION OF DISASTER RISK REDUCTION INTO AUSTRALIAN SCHOOL CURRICULA PROGRAMS AND MATERIALS</w:t>
                      </w:r>
                    </w:p>
                    <w:p w:rsidR="000C19BB" w:rsidRPr="004639A6" w:rsidRDefault="000C19BB" w:rsidP="0004507F">
                      <w:pPr>
                        <w:jc w:val="center"/>
                        <w:rPr>
                          <w:rFonts w:cs="Tahoma"/>
                          <w:lang w:val="en-GB"/>
                        </w:rPr>
                      </w:pPr>
                    </w:p>
                  </w:txbxContent>
                </v:textbox>
                <w10:wrap anchorx="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B20963" w:rsidP="004A06FC">
      <w:r>
        <w:rPr>
          <w:noProof/>
          <w:lang w:val="en-AU" w:eastAsia="en-AU"/>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102235</wp:posOffset>
                </wp:positionV>
                <wp:extent cx="2237105" cy="1259205"/>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1259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9BB" w:rsidRDefault="000C19BB" w:rsidP="00527747">
                            <w:pPr>
                              <w:spacing w:line="240" w:lineRule="auto"/>
                              <w:jc w:val="center"/>
                              <w:rPr>
                                <w:rFonts w:cs="Tahoma"/>
                                <w:b/>
                                <w:bCs/>
                                <w:color w:val="FF0000"/>
                                <w:lang w:val="en-GB"/>
                              </w:rPr>
                            </w:pPr>
                            <w:r>
                              <w:rPr>
                                <w:rFonts w:cs="Tahoma"/>
                                <w:b/>
                                <w:bCs/>
                                <w:lang w:val="en-GB"/>
                              </w:rPr>
                              <w:t>Neil Dufty</w:t>
                            </w:r>
                          </w:p>
                          <w:p w:rsidR="000C19BB" w:rsidRPr="00527747" w:rsidRDefault="000C19BB" w:rsidP="00527747">
                            <w:pPr>
                              <w:spacing w:line="240" w:lineRule="auto"/>
                              <w:jc w:val="center"/>
                              <w:rPr>
                                <w:rFonts w:cs="Tahoma"/>
                                <w:bCs/>
                                <w:lang w:val="en-GB"/>
                              </w:rPr>
                            </w:pPr>
                            <w:r>
                              <w:rPr>
                                <w:rFonts w:cs="Tahoma"/>
                                <w:bCs/>
                                <w:lang w:val="en-GB"/>
                              </w:rPr>
                              <w:t>Molino Stewart Pty Ltd, Parramatta, NSW, 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0;margin-top:8.05pt;width:176.15pt;height:99.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1xhA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" stroked="f">
                <v:textbox>
                  <w:txbxContent>
                    <w:p w:rsidR="000C19BB" w:rsidRDefault="000C19BB" w:rsidP="00527747">
                      <w:pPr>
                        <w:spacing w:line="240" w:lineRule="auto"/>
                        <w:jc w:val="center"/>
                        <w:rPr>
                          <w:rFonts w:cs="Tahoma"/>
                          <w:b/>
                          <w:bCs/>
                          <w:color w:val="FF0000"/>
                          <w:lang w:val="en-GB"/>
                        </w:rPr>
                      </w:pPr>
                      <w:r>
                        <w:rPr>
                          <w:rFonts w:cs="Tahoma"/>
                          <w:b/>
                          <w:bCs/>
                          <w:lang w:val="en-GB"/>
                        </w:rPr>
                        <w:t>Neil Dufty</w:t>
                      </w:r>
                    </w:p>
                    <w:p w:rsidR="000C19BB" w:rsidRPr="00527747" w:rsidRDefault="000C19BB" w:rsidP="00527747">
                      <w:pPr>
                        <w:spacing w:line="240" w:lineRule="auto"/>
                        <w:jc w:val="center"/>
                        <w:rPr>
                          <w:rFonts w:cs="Tahoma"/>
                          <w:bCs/>
                          <w:lang w:val="en-GB"/>
                        </w:rPr>
                      </w:pPr>
                      <w:r>
                        <w:rPr>
                          <w:rFonts w:cs="Tahoma"/>
                          <w:bCs/>
                          <w:lang w:val="en-GB"/>
                        </w:rPr>
                        <w:t>Molino Stewart Pty Ltd, Parramatta, NSW, Australia</w:t>
                      </w:r>
                    </w:p>
                  </w:txbxContent>
                </v:textbox>
                <w10:wrap anchorx="margin"/>
              </v:shape>
            </w:pict>
          </mc:Fallback>
        </mc:AlternateConten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Default="00734EB6" w:rsidP="004A06FC"/>
    <w:p w:rsidR="00E12F88" w:rsidRPr="005503E3" w:rsidRDefault="00E12F88" w:rsidP="00E12F88">
      <w:pPr>
        <w:pStyle w:val="TOCHeading"/>
        <w:rPr>
          <w:rFonts w:cs="Tahoma"/>
        </w:rPr>
      </w:pPr>
      <w:r w:rsidRPr="005503E3">
        <w:rPr>
          <w:rFonts w:cs="Tahoma"/>
          <w:lang w:val="fr-FR"/>
        </w:rPr>
        <w:lastRenderedPageBreak/>
        <w:t>Table of Contents</w:t>
      </w:r>
    </w:p>
    <w:p w:rsidR="00E14EA7" w:rsidRDefault="00E12F88">
      <w:pPr>
        <w:pStyle w:val="TOC1"/>
        <w:tabs>
          <w:tab w:val="right" w:leader="dot" w:pos="9062"/>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381875948" w:history="1">
        <w:r w:rsidR="00E14EA7" w:rsidRPr="00F31764">
          <w:rPr>
            <w:rStyle w:val="Hyperlink"/>
            <w:noProof/>
            <w:lang w:val="en-GB"/>
          </w:rPr>
          <w:t>Introduction</w:t>
        </w:r>
        <w:r w:rsidR="00E14EA7">
          <w:rPr>
            <w:noProof/>
            <w:webHidden/>
          </w:rPr>
          <w:tab/>
        </w:r>
        <w:r w:rsidR="00E14EA7">
          <w:rPr>
            <w:noProof/>
            <w:webHidden/>
          </w:rPr>
          <w:fldChar w:fldCharType="begin"/>
        </w:r>
        <w:r w:rsidR="00E14EA7">
          <w:rPr>
            <w:noProof/>
            <w:webHidden/>
          </w:rPr>
          <w:instrText xml:space="preserve"> PAGEREF _Toc381875948 \h </w:instrText>
        </w:r>
        <w:r w:rsidR="00E14EA7">
          <w:rPr>
            <w:noProof/>
            <w:webHidden/>
          </w:rPr>
        </w:r>
        <w:r w:rsidR="00E14EA7">
          <w:rPr>
            <w:noProof/>
            <w:webHidden/>
          </w:rPr>
          <w:fldChar w:fldCharType="separate"/>
        </w:r>
        <w:r w:rsidR="00E14EA7">
          <w:rPr>
            <w:noProof/>
            <w:webHidden/>
          </w:rPr>
          <w:t>3</w:t>
        </w:r>
        <w:r w:rsidR="00E14EA7">
          <w:rPr>
            <w:noProof/>
            <w:webHidden/>
          </w:rPr>
          <w:fldChar w:fldCharType="end"/>
        </w:r>
      </w:hyperlink>
    </w:p>
    <w:p w:rsidR="00E14EA7" w:rsidRDefault="00E14EA7">
      <w:pPr>
        <w:pStyle w:val="TOC1"/>
        <w:tabs>
          <w:tab w:val="right" w:leader="dot" w:pos="9062"/>
        </w:tabs>
        <w:rPr>
          <w:rFonts w:asciiTheme="minorHAnsi" w:eastAsiaTheme="minorEastAsia" w:hAnsiTheme="minorHAnsi" w:cstheme="minorBidi"/>
          <w:noProof/>
          <w:lang w:val="en-AU" w:eastAsia="en-AU"/>
        </w:rPr>
      </w:pPr>
      <w:hyperlink w:anchor="_Toc381875949" w:history="1">
        <w:r w:rsidRPr="00F31764">
          <w:rPr>
            <w:rStyle w:val="Hyperlink"/>
            <w:noProof/>
            <w:lang w:val="en-GB"/>
          </w:rPr>
          <w:t>This paper</w:t>
        </w:r>
        <w:r>
          <w:rPr>
            <w:noProof/>
            <w:webHidden/>
          </w:rPr>
          <w:tab/>
        </w:r>
        <w:r>
          <w:rPr>
            <w:noProof/>
            <w:webHidden/>
          </w:rPr>
          <w:fldChar w:fldCharType="begin"/>
        </w:r>
        <w:r>
          <w:rPr>
            <w:noProof/>
            <w:webHidden/>
          </w:rPr>
          <w:instrText xml:space="preserve"> PAGEREF _Toc381875949 \h </w:instrText>
        </w:r>
        <w:r>
          <w:rPr>
            <w:noProof/>
            <w:webHidden/>
          </w:rPr>
        </w:r>
        <w:r>
          <w:rPr>
            <w:noProof/>
            <w:webHidden/>
          </w:rPr>
          <w:fldChar w:fldCharType="separate"/>
        </w:r>
        <w:r>
          <w:rPr>
            <w:noProof/>
            <w:webHidden/>
          </w:rPr>
          <w:t>4</w:t>
        </w:r>
        <w:r>
          <w:rPr>
            <w:noProof/>
            <w:webHidden/>
          </w:rPr>
          <w:fldChar w:fldCharType="end"/>
        </w:r>
      </w:hyperlink>
    </w:p>
    <w:p w:rsidR="00E14EA7" w:rsidRDefault="00E14EA7">
      <w:pPr>
        <w:pStyle w:val="TOC1"/>
        <w:tabs>
          <w:tab w:val="right" w:leader="dot" w:pos="9062"/>
        </w:tabs>
        <w:rPr>
          <w:rFonts w:asciiTheme="minorHAnsi" w:eastAsiaTheme="minorEastAsia" w:hAnsiTheme="minorHAnsi" w:cstheme="minorBidi"/>
          <w:noProof/>
          <w:lang w:val="en-AU" w:eastAsia="en-AU"/>
        </w:rPr>
      </w:pPr>
      <w:hyperlink w:anchor="_Toc381875950" w:history="1">
        <w:r w:rsidRPr="00F31764">
          <w:rPr>
            <w:rStyle w:val="Hyperlink"/>
            <w:noProof/>
            <w:lang w:val="en-GB"/>
          </w:rPr>
          <w:t>Methodology</w:t>
        </w:r>
        <w:r>
          <w:rPr>
            <w:noProof/>
            <w:webHidden/>
          </w:rPr>
          <w:tab/>
        </w:r>
        <w:r>
          <w:rPr>
            <w:noProof/>
            <w:webHidden/>
          </w:rPr>
          <w:fldChar w:fldCharType="begin"/>
        </w:r>
        <w:r>
          <w:rPr>
            <w:noProof/>
            <w:webHidden/>
          </w:rPr>
          <w:instrText xml:space="preserve"> PAGEREF _Toc381875950 \h </w:instrText>
        </w:r>
        <w:r>
          <w:rPr>
            <w:noProof/>
            <w:webHidden/>
          </w:rPr>
        </w:r>
        <w:r>
          <w:rPr>
            <w:noProof/>
            <w:webHidden/>
          </w:rPr>
          <w:fldChar w:fldCharType="separate"/>
        </w:r>
        <w:r>
          <w:rPr>
            <w:noProof/>
            <w:webHidden/>
          </w:rPr>
          <w:t>4</w:t>
        </w:r>
        <w:r>
          <w:rPr>
            <w:noProof/>
            <w:webHidden/>
          </w:rPr>
          <w:fldChar w:fldCharType="end"/>
        </w:r>
      </w:hyperlink>
    </w:p>
    <w:p w:rsidR="00E14EA7" w:rsidRDefault="00E14EA7">
      <w:pPr>
        <w:pStyle w:val="TOC1"/>
        <w:tabs>
          <w:tab w:val="right" w:leader="dot" w:pos="9062"/>
        </w:tabs>
        <w:rPr>
          <w:rFonts w:asciiTheme="minorHAnsi" w:eastAsiaTheme="minorEastAsia" w:hAnsiTheme="minorHAnsi" w:cstheme="minorBidi"/>
          <w:noProof/>
          <w:lang w:val="en-AU" w:eastAsia="en-AU"/>
        </w:rPr>
      </w:pPr>
      <w:hyperlink w:anchor="_Toc381875951" w:history="1">
        <w:r w:rsidRPr="00F31764">
          <w:rPr>
            <w:rStyle w:val="Hyperlink"/>
            <w:noProof/>
            <w:lang w:val="en-GB"/>
          </w:rPr>
          <w:t>Findings</w:t>
        </w:r>
        <w:r>
          <w:rPr>
            <w:noProof/>
            <w:webHidden/>
          </w:rPr>
          <w:tab/>
        </w:r>
        <w:r>
          <w:rPr>
            <w:noProof/>
            <w:webHidden/>
          </w:rPr>
          <w:fldChar w:fldCharType="begin"/>
        </w:r>
        <w:r>
          <w:rPr>
            <w:noProof/>
            <w:webHidden/>
          </w:rPr>
          <w:instrText xml:space="preserve"> PAGEREF _Toc381875951 \h </w:instrText>
        </w:r>
        <w:r>
          <w:rPr>
            <w:noProof/>
            <w:webHidden/>
          </w:rPr>
        </w:r>
        <w:r>
          <w:rPr>
            <w:noProof/>
            <w:webHidden/>
          </w:rPr>
          <w:fldChar w:fldCharType="separate"/>
        </w:r>
        <w:r>
          <w:rPr>
            <w:noProof/>
            <w:webHidden/>
          </w:rPr>
          <w:t>5</w:t>
        </w:r>
        <w:r>
          <w:rPr>
            <w:noProof/>
            <w:webHidden/>
          </w:rPr>
          <w:fldChar w:fldCharType="end"/>
        </w:r>
      </w:hyperlink>
    </w:p>
    <w:p w:rsidR="00E14EA7" w:rsidRDefault="00E14EA7">
      <w:pPr>
        <w:pStyle w:val="TOC2"/>
        <w:tabs>
          <w:tab w:val="right" w:leader="dot" w:pos="9062"/>
        </w:tabs>
        <w:rPr>
          <w:rFonts w:asciiTheme="minorHAnsi" w:eastAsiaTheme="minorEastAsia" w:hAnsiTheme="minorHAnsi" w:cstheme="minorBidi"/>
          <w:noProof/>
          <w:lang w:val="en-AU" w:eastAsia="en-AU"/>
        </w:rPr>
      </w:pPr>
      <w:hyperlink w:anchor="_Toc381875952" w:history="1">
        <w:r w:rsidRPr="00F31764">
          <w:rPr>
            <w:rStyle w:val="Hyperlink"/>
            <w:noProof/>
            <w:lang w:val="en-GB"/>
          </w:rPr>
          <w:t>2005-2009</w:t>
        </w:r>
        <w:r>
          <w:rPr>
            <w:noProof/>
            <w:webHidden/>
          </w:rPr>
          <w:tab/>
        </w:r>
        <w:r>
          <w:rPr>
            <w:noProof/>
            <w:webHidden/>
          </w:rPr>
          <w:fldChar w:fldCharType="begin"/>
        </w:r>
        <w:r>
          <w:rPr>
            <w:noProof/>
            <w:webHidden/>
          </w:rPr>
          <w:instrText xml:space="preserve"> PAGEREF _Toc381875952 \h </w:instrText>
        </w:r>
        <w:r>
          <w:rPr>
            <w:noProof/>
            <w:webHidden/>
          </w:rPr>
        </w:r>
        <w:r>
          <w:rPr>
            <w:noProof/>
            <w:webHidden/>
          </w:rPr>
          <w:fldChar w:fldCharType="separate"/>
        </w:r>
        <w:r>
          <w:rPr>
            <w:noProof/>
            <w:webHidden/>
          </w:rPr>
          <w:t>5</w:t>
        </w:r>
        <w:r>
          <w:rPr>
            <w:noProof/>
            <w:webHidden/>
          </w:rPr>
          <w:fldChar w:fldCharType="end"/>
        </w:r>
      </w:hyperlink>
    </w:p>
    <w:p w:rsidR="00E14EA7" w:rsidRDefault="00E14EA7">
      <w:pPr>
        <w:pStyle w:val="TOC2"/>
        <w:tabs>
          <w:tab w:val="right" w:leader="dot" w:pos="9062"/>
        </w:tabs>
        <w:rPr>
          <w:rFonts w:asciiTheme="minorHAnsi" w:eastAsiaTheme="minorEastAsia" w:hAnsiTheme="minorHAnsi" w:cstheme="minorBidi"/>
          <w:noProof/>
          <w:lang w:val="en-AU" w:eastAsia="en-AU"/>
        </w:rPr>
      </w:pPr>
      <w:hyperlink w:anchor="_Toc381875953" w:history="1">
        <w:r w:rsidRPr="00F31764">
          <w:rPr>
            <w:rStyle w:val="Hyperlink"/>
            <w:noProof/>
            <w:lang w:val="en-GB"/>
          </w:rPr>
          <w:t>2009-present</w:t>
        </w:r>
        <w:r>
          <w:rPr>
            <w:noProof/>
            <w:webHidden/>
          </w:rPr>
          <w:tab/>
        </w:r>
        <w:r>
          <w:rPr>
            <w:noProof/>
            <w:webHidden/>
          </w:rPr>
          <w:fldChar w:fldCharType="begin"/>
        </w:r>
        <w:r>
          <w:rPr>
            <w:noProof/>
            <w:webHidden/>
          </w:rPr>
          <w:instrText xml:space="preserve"> PAGEREF _Toc381875953 \h </w:instrText>
        </w:r>
        <w:r>
          <w:rPr>
            <w:noProof/>
            <w:webHidden/>
          </w:rPr>
        </w:r>
        <w:r>
          <w:rPr>
            <w:noProof/>
            <w:webHidden/>
          </w:rPr>
          <w:fldChar w:fldCharType="separate"/>
        </w:r>
        <w:r>
          <w:rPr>
            <w:noProof/>
            <w:webHidden/>
          </w:rPr>
          <w:t>6</w:t>
        </w:r>
        <w:r>
          <w:rPr>
            <w:noProof/>
            <w:webHidden/>
          </w:rPr>
          <w:fldChar w:fldCharType="end"/>
        </w:r>
      </w:hyperlink>
    </w:p>
    <w:p w:rsidR="00E14EA7" w:rsidRDefault="00E14EA7">
      <w:pPr>
        <w:pStyle w:val="TOC1"/>
        <w:tabs>
          <w:tab w:val="right" w:leader="dot" w:pos="9062"/>
        </w:tabs>
        <w:rPr>
          <w:rFonts w:asciiTheme="minorHAnsi" w:eastAsiaTheme="minorEastAsia" w:hAnsiTheme="minorHAnsi" w:cstheme="minorBidi"/>
          <w:noProof/>
          <w:lang w:val="en-AU" w:eastAsia="en-AU"/>
        </w:rPr>
      </w:pPr>
      <w:hyperlink w:anchor="_Toc381875954" w:history="1">
        <w:r w:rsidRPr="00F31764">
          <w:rPr>
            <w:rStyle w:val="Hyperlink"/>
            <w:noProof/>
            <w:lang w:val="en-GB"/>
          </w:rPr>
          <w:t>Discussion</w:t>
        </w:r>
        <w:r>
          <w:rPr>
            <w:noProof/>
            <w:webHidden/>
          </w:rPr>
          <w:tab/>
        </w:r>
        <w:r>
          <w:rPr>
            <w:noProof/>
            <w:webHidden/>
          </w:rPr>
          <w:fldChar w:fldCharType="begin"/>
        </w:r>
        <w:r>
          <w:rPr>
            <w:noProof/>
            <w:webHidden/>
          </w:rPr>
          <w:instrText xml:space="preserve"> PAGEREF _Toc381875954 \h </w:instrText>
        </w:r>
        <w:r>
          <w:rPr>
            <w:noProof/>
            <w:webHidden/>
          </w:rPr>
        </w:r>
        <w:r>
          <w:rPr>
            <w:noProof/>
            <w:webHidden/>
          </w:rPr>
          <w:fldChar w:fldCharType="separate"/>
        </w:r>
        <w:r>
          <w:rPr>
            <w:noProof/>
            <w:webHidden/>
          </w:rPr>
          <w:t>10</w:t>
        </w:r>
        <w:r>
          <w:rPr>
            <w:noProof/>
            <w:webHidden/>
          </w:rPr>
          <w:fldChar w:fldCharType="end"/>
        </w:r>
      </w:hyperlink>
    </w:p>
    <w:p w:rsidR="00E14EA7" w:rsidRDefault="00E14EA7">
      <w:pPr>
        <w:pStyle w:val="TOC2"/>
        <w:tabs>
          <w:tab w:val="right" w:leader="dot" w:pos="9062"/>
        </w:tabs>
        <w:rPr>
          <w:rFonts w:asciiTheme="minorHAnsi" w:eastAsiaTheme="minorEastAsia" w:hAnsiTheme="minorHAnsi" w:cstheme="minorBidi"/>
          <w:noProof/>
          <w:lang w:val="en-AU" w:eastAsia="en-AU"/>
        </w:rPr>
      </w:pPr>
      <w:hyperlink w:anchor="_Toc381875955" w:history="1">
        <w:r w:rsidRPr="00F31764">
          <w:rPr>
            <w:rStyle w:val="Hyperlink"/>
            <w:noProof/>
            <w:lang w:val="en-GB"/>
          </w:rPr>
          <w:t>Changes since 2005</w:t>
        </w:r>
        <w:r>
          <w:rPr>
            <w:noProof/>
            <w:webHidden/>
          </w:rPr>
          <w:tab/>
        </w:r>
        <w:r>
          <w:rPr>
            <w:noProof/>
            <w:webHidden/>
          </w:rPr>
          <w:fldChar w:fldCharType="begin"/>
        </w:r>
        <w:r>
          <w:rPr>
            <w:noProof/>
            <w:webHidden/>
          </w:rPr>
          <w:instrText xml:space="preserve"> PAGEREF _Toc381875955 \h </w:instrText>
        </w:r>
        <w:r>
          <w:rPr>
            <w:noProof/>
            <w:webHidden/>
          </w:rPr>
        </w:r>
        <w:r>
          <w:rPr>
            <w:noProof/>
            <w:webHidden/>
          </w:rPr>
          <w:fldChar w:fldCharType="separate"/>
        </w:r>
        <w:r>
          <w:rPr>
            <w:noProof/>
            <w:webHidden/>
          </w:rPr>
          <w:t>10</w:t>
        </w:r>
        <w:r>
          <w:rPr>
            <w:noProof/>
            <w:webHidden/>
          </w:rPr>
          <w:fldChar w:fldCharType="end"/>
        </w:r>
      </w:hyperlink>
    </w:p>
    <w:p w:rsidR="00E14EA7" w:rsidRDefault="00E14EA7">
      <w:pPr>
        <w:pStyle w:val="TOC2"/>
        <w:tabs>
          <w:tab w:val="right" w:leader="dot" w:pos="9062"/>
        </w:tabs>
        <w:rPr>
          <w:rFonts w:asciiTheme="minorHAnsi" w:eastAsiaTheme="minorEastAsia" w:hAnsiTheme="minorHAnsi" w:cstheme="minorBidi"/>
          <w:noProof/>
          <w:lang w:val="en-AU" w:eastAsia="en-AU"/>
        </w:rPr>
      </w:pPr>
      <w:hyperlink w:anchor="_Toc381875956" w:history="1">
        <w:r w:rsidRPr="00F31764">
          <w:rPr>
            <w:rStyle w:val="Hyperlink"/>
            <w:noProof/>
            <w:lang w:val="en-GB"/>
          </w:rPr>
          <w:t>Comparison with the UN report</w:t>
        </w:r>
        <w:r>
          <w:rPr>
            <w:noProof/>
            <w:webHidden/>
          </w:rPr>
          <w:tab/>
        </w:r>
        <w:r>
          <w:rPr>
            <w:noProof/>
            <w:webHidden/>
          </w:rPr>
          <w:fldChar w:fldCharType="begin"/>
        </w:r>
        <w:r>
          <w:rPr>
            <w:noProof/>
            <w:webHidden/>
          </w:rPr>
          <w:instrText xml:space="preserve"> PAGEREF _Toc381875956 \h </w:instrText>
        </w:r>
        <w:r>
          <w:rPr>
            <w:noProof/>
            <w:webHidden/>
          </w:rPr>
        </w:r>
        <w:r>
          <w:rPr>
            <w:noProof/>
            <w:webHidden/>
          </w:rPr>
          <w:fldChar w:fldCharType="separate"/>
        </w:r>
        <w:r>
          <w:rPr>
            <w:noProof/>
            <w:webHidden/>
          </w:rPr>
          <w:t>11</w:t>
        </w:r>
        <w:r>
          <w:rPr>
            <w:noProof/>
            <w:webHidden/>
          </w:rPr>
          <w:fldChar w:fldCharType="end"/>
        </w:r>
      </w:hyperlink>
    </w:p>
    <w:p w:rsidR="00E14EA7" w:rsidRDefault="00E14EA7">
      <w:pPr>
        <w:pStyle w:val="TOC1"/>
        <w:tabs>
          <w:tab w:val="right" w:leader="dot" w:pos="9062"/>
        </w:tabs>
        <w:rPr>
          <w:rFonts w:asciiTheme="minorHAnsi" w:eastAsiaTheme="minorEastAsia" w:hAnsiTheme="minorHAnsi" w:cstheme="minorBidi"/>
          <w:noProof/>
          <w:lang w:val="en-AU" w:eastAsia="en-AU"/>
        </w:rPr>
      </w:pPr>
      <w:hyperlink w:anchor="_Toc381875957" w:history="1">
        <w:r w:rsidRPr="00F31764">
          <w:rPr>
            <w:rStyle w:val="Hyperlink"/>
            <w:noProof/>
            <w:lang w:val="en-GB"/>
          </w:rPr>
          <w:t>Conclusion</w:t>
        </w:r>
        <w:r>
          <w:rPr>
            <w:noProof/>
            <w:webHidden/>
          </w:rPr>
          <w:tab/>
        </w:r>
        <w:r>
          <w:rPr>
            <w:noProof/>
            <w:webHidden/>
          </w:rPr>
          <w:fldChar w:fldCharType="begin"/>
        </w:r>
        <w:r>
          <w:rPr>
            <w:noProof/>
            <w:webHidden/>
          </w:rPr>
          <w:instrText xml:space="preserve"> PAGEREF _Toc381875957 \h </w:instrText>
        </w:r>
        <w:r>
          <w:rPr>
            <w:noProof/>
            <w:webHidden/>
          </w:rPr>
        </w:r>
        <w:r>
          <w:rPr>
            <w:noProof/>
            <w:webHidden/>
          </w:rPr>
          <w:fldChar w:fldCharType="separate"/>
        </w:r>
        <w:r>
          <w:rPr>
            <w:noProof/>
            <w:webHidden/>
          </w:rPr>
          <w:t>14</w:t>
        </w:r>
        <w:r>
          <w:rPr>
            <w:noProof/>
            <w:webHidden/>
          </w:rPr>
          <w:fldChar w:fldCharType="end"/>
        </w:r>
      </w:hyperlink>
    </w:p>
    <w:p w:rsidR="00E14EA7" w:rsidRDefault="00E14EA7">
      <w:pPr>
        <w:pStyle w:val="TOC1"/>
        <w:tabs>
          <w:tab w:val="right" w:leader="dot" w:pos="9062"/>
        </w:tabs>
        <w:rPr>
          <w:rFonts w:asciiTheme="minorHAnsi" w:eastAsiaTheme="minorEastAsia" w:hAnsiTheme="minorHAnsi" w:cstheme="minorBidi"/>
          <w:noProof/>
          <w:lang w:val="en-AU" w:eastAsia="en-AU"/>
        </w:rPr>
      </w:pPr>
      <w:hyperlink w:anchor="_Toc381875958" w:history="1">
        <w:r w:rsidRPr="00F31764">
          <w:rPr>
            <w:rStyle w:val="Hyperlink"/>
            <w:noProof/>
            <w:lang w:val="en-GB"/>
          </w:rPr>
          <w:t>References</w:t>
        </w:r>
        <w:r>
          <w:rPr>
            <w:noProof/>
            <w:webHidden/>
          </w:rPr>
          <w:tab/>
        </w:r>
        <w:r>
          <w:rPr>
            <w:noProof/>
            <w:webHidden/>
          </w:rPr>
          <w:fldChar w:fldCharType="begin"/>
        </w:r>
        <w:r>
          <w:rPr>
            <w:noProof/>
            <w:webHidden/>
          </w:rPr>
          <w:instrText xml:space="preserve"> PAGEREF _Toc381875958 \h </w:instrText>
        </w:r>
        <w:r>
          <w:rPr>
            <w:noProof/>
            <w:webHidden/>
          </w:rPr>
        </w:r>
        <w:r>
          <w:rPr>
            <w:noProof/>
            <w:webHidden/>
          </w:rPr>
          <w:fldChar w:fldCharType="separate"/>
        </w:r>
        <w:r>
          <w:rPr>
            <w:noProof/>
            <w:webHidden/>
          </w:rPr>
          <w:t>15</w:t>
        </w:r>
        <w:r>
          <w:rPr>
            <w:noProof/>
            <w:webHidden/>
          </w:rPr>
          <w:fldChar w:fldCharType="end"/>
        </w:r>
      </w:hyperlink>
    </w:p>
    <w:p w:rsidR="00E12F88" w:rsidRPr="001A2865" w:rsidRDefault="00E12F88" w:rsidP="00E12F88">
      <w:r>
        <w:fldChar w:fldCharType="end"/>
      </w:r>
    </w:p>
    <w:p w:rsidR="00E14EA7" w:rsidRDefault="00E12F88">
      <w:pPr>
        <w:pStyle w:val="TableofFigures"/>
        <w:tabs>
          <w:tab w:val="right" w:leader="dot" w:pos="9062"/>
        </w:tabs>
        <w:rPr>
          <w:rFonts w:asciiTheme="minorHAnsi" w:eastAsiaTheme="minorEastAsia" w:hAnsiTheme="minorHAnsi" w:cstheme="minorBidi"/>
          <w:noProof/>
          <w:lang w:val="en-AU" w:eastAsia="en-AU"/>
        </w:rPr>
      </w:pPr>
      <w:r w:rsidRPr="00612711">
        <w:rPr>
          <w:rFonts w:cs="Tahoma"/>
          <w:color w:val="FF0000"/>
        </w:rPr>
        <w:fldChar w:fldCharType="begin"/>
      </w:r>
      <w:r w:rsidRPr="00612711">
        <w:rPr>
          <w:rFonts w:cs="Tahoma"/>
          <w:color w:val="FF0000"/>
        </w:rPr>
        <w:instrText xml:space="preserve"> TOC \h \z \c "Table" </w:instrText>
      </w:r>
      <w:r w:rsidRPr="00612711">
        <w:rPr>
          <w:rFonts w:cs="Tahoma"/>
          <w:color w:val="FF0000"/>
        </w:rPr>
        <w:fldChar w:fldCharType="separate"/>
      </w:r>
      <w:hyperlink w:anchor="_Toc381875962" w:history="1">
        <w:r w:rsidR="00E14EA7" w:rsidRPr="00C12937">
          <w:rPr>
            <w:rStyle w:val="Hyperlink"/>
            <w:i/>
            <w:noProof/>
          </w:rPr>
          <w:t xml:space="preserve">Table 1: </w:t>
        </w:r>
        <w:r w:rsidR="00E14EA7" w:rsidRPr="00C12937">
          <w:rPr>
            <w:rStyle w:val="Hyperlink"/>
            <w:rFonts w:cs="Tahoma"/>
            <w:i/>
            <w:noProof/>
            <w:lang w:val="en-GB"/>
          </w:rPr>
          <w:t>Curriculum map showing the main opportunities for DRR learning in the Australian Curriculum.</w:t>
        </w:r>
        <w:r w:rsidR="00E14EA7">
          <w:rPr>
            <w:noProof/>
            <w:webHidden/>
          </w:rPr>
          <w:tab/>
        </w:r>
        <w:r w:rsidR="00E14EA7">
          <w:rPr>
            <w:noProof/>
            <w:webHidden/>
          </w:rPr>
          <w:fldChar w:fldCharType="begin"/>
        </w:r>
        <w:r w:rsidR="00E14EA7">
          <w:rPr>
            <w:noProof/>
            <w:webHidden/>
          </w:rPr>
          <w:instrText xml:space="preserve"> PAGEREF _Toc381875962 \h </w:instrText>
        </w:r>
        <w:r w:rsidR="00E14EA7">
          <w:rPr>
            <w:noProof/>
            <w:webHidden/>
          </w:rPr>
        </w:r>
        <w:r w:rsidR="00E14EA7">
          <w:rPr>
            <w:noProof/>
            <w:webHidden/>
          </w:rPr>
          <w:fldChar w:fldCharType="separate"/>
        </w:r>
        <w:r w:rsidR="00E14EA7">
          <w:rPr>
            <w:noProof/>
            <w:webHidden/>
          </w:rPr>
          <w:t>8</w:t>
        </w:r>
        <w:r w:rsidR="00E14EA7">
          <w:rPr>
            <w:noProof/>
            <w:webHidden/>
          </w:rPr>
          <w:fldChar w:fldCharType="end"/>
        </w:r>
      </w:hyperlink>
    </w:p>
    <w:p w:rsidR="00E14EA7" w:rsidRDefault="00E14EA7">
      <w:pPr>
        <w:pStyle w:val="TableofFigures"/>
        <w:tabs>
          <w:tab w:val="right" w:leader="dot" w:pos="9062"/>
        </w:tabs>
        <w:rPr>
          <w:rFonts w:asciiTheme="minorHAnsi" w:eastAsiaTheme="minorEastAsia" w:hAnsiTheme="minorHAnsi" w:cstheme="minorBidi"/>
          <w:noProof/>
          <w:lang w:val="en-AU" w:eastAsia="en-AU"/>
        </w:rPr>
      </w:pPr>
      <w:hyperlink w:anchor="_Toc381875963" w:history="1">
        <w:r w:rsidRPr="00C12937">
          <w:rPr>
            <w:rStyle w:val="Hyperlink"/>
            <w:i/>
            <w:noProof/>
            <w:lang w:val="en-AU"/>
          </w:rPr>
          <w:t>Table 2: Typical Floodplain Risk Management Measures (Source: NSW Floodplain Development Manual)</w:t>
        </w:r>
        <w:r>
          <w:rPr>
            <w:noProof/>
            <w:webHidden/>
          </w:rPr>
          <w:tab/>
        </w:r>
        <w:r>
          <w:rPr>
            <w:noProof/>
            <w:webHidden/>
          </w:rPr>
          <w:fldChar w:fldCharType="begin"/>
        </w:r>
        <w:r>
          <w:rPr>
            <w:noProof/>
            <w:webHidden/>
          </w:rPr>
          <w:instrText xml:space="preserve"> PAGEREF _Toc381875963 \h </w:instrText>
        </w:r>
        <w:r>
          <w:rPr>
            <w:noProof/>
            <w:webHidden/>
          </w:rPr>
        </w:r>
        <w:r>
          <w:rPr>
            <w:noProof/>
            <w:webHidden/>
          </w:rPr>
          <w:fldChar w:fldCharType="separate"/>
        </w:r>
        <w:r>
          <w:rPr>
            <w:noProof/>
            <w:webHidden/>
          </w:rPr>
          <w:t>11</w:t>
        </w:r>
        <w:r>
          <w:rPr>
            <w:noProof/>
            <w:webHidden/>
          </w:rPr>
          <w:fldChar w:fldCharType="end"/>
        </w:r>
      </w:hyperlink>
    </w:p>
    <w:p w:rsidR="00E14EA7" w:rsidRDefault="00E14EA7">
      <w:pPr>
        <w:pStyle w:val="TableofFigures"/>
        <w:tabs>
          <w:tab w:val="right" w:leader="dot" w:pos="9062"/>
        </w:tabs>
        <w:rPr>
          <w:rFonts w:asciiTheme="minorHAnsi" w:eastAsiaTheme="minorEastAsia" w:hAnsiTheme="minorHAnsi" w:cstheme="minorBidi"/>
          <w:noProof/>
          <w:lang w:val="en-AU" w:eastAsia="en-AU"/>
        </w:rPr>
      </w:pPr>
      <w:hyperlink w:anchor="_Toc381875964" w:history="1">
        <w:r w:rsidRPr="00C12937">
          <w:rPr>
            <w:rStyle w:val="Hyperlink"/>
            <w:i/>
            <w:noProof/>
          </w:rPr>
          <w:t>Table 3 : Range of DRR pedagogies (source: Dufty, 2013)</w:t>
        </w:r>
        <w:r>
          <w:rPr>
            <w:noProof/>
            <w:webHidden/>
          </w:rPr>
          <w:tab/>
        </w:r>
        <w:r>
          <w:rPr>
            <w:noProof/>
            <w:webHidden/>
          </w:rPr>
          <w:fldChar w:fldCharType="begin"/>
        </w:r>
        <w:r>
          <w:rPr>
            <w:noProof/>
            <w:webHidden/>
          </w:rPr>
          <w:instrText xml:space="preserve"> PAGEREF _Toc381875964 \h </w:instrText>
        </w:r>
        <w:r>
          <w:rPr>
            <w:noProof/>
            <w:webHidden/>
          </w:rPr>
        </w:r>
        <w:r>
          <w:rPr>
            <w:noProof/>
            <w:webHidden/>
          </w:rPr>
          <w:fldChar w:fldCharType="separate"/>
        </w:r>
        <w:r>
          <w:rPr>
            <w:noProof/>
            <w:webHidden/>
          </w:rPr>
          <w:t>13</w:t>
        </w:r>
        <w:r>
          <w:rPr>
            <w:noProof/>
            <w:webHidden/>
          </w:rPr>
          <w:fldChar w:fldCharType="end"/>
        </w:r>
      </w:hyperlink>
    </w:p>
    <w:p w:rsidR="00E12F88" w:rsidRPr="005503E3" w:rsidRDefault="00E12F88" w:rsidP="00E12F88">
      <w:pPr>
        <w:rPr>
          <w:color w:val="FF0000"/>
        </w:rPr>
      </w:pPr>
      <w:r w:rsidRPr="00612711">
        <w:rPr>
          <w:rFonts w:cs="Tahoma"/>
          <w:color w:val="FF0000"/>
        </w:rPr>
        <w:fldChar w:fldCharType="end"/>
      </w:r>
    </w:p>
    <w:p w:rsidR="00210576" w:rsidRDefault="00210576" w:rsidP="004A06FC">
      <w:pPr>
        <w:rPr>
          <w:rFonts w:cs="Tahoma"/>
          <w:color w:val="FF0000"/>
        </w:rPr>
      </w:pPr>
    </w:p>
    <w:p w:rsidR="00734EB6" w:rsidRPr="00210576" w:rsidRDefault="00210576" w:rsidP="00210576">
      <w:pPr>
        <w:spacing w:after="0" w:line="240" w:lineRule="auto"/>
        <w:jc w:val="left"/>
        <w:rPr>
          <w:rFonts w:cs="Tahoma"/>
          <w:color w:val="FF0000"/>
        </w:rPr>
      </w:pPr>
      <w:r>
        <w:rPr>
          <w:rFonts w:cs="Tahoma"/>
          <w:color w:val="FF0000"/>
        </w:rPr>
        <w:br w:type="page"/>
      </w:r>
    </w:p>
    <w:p w:rsidR="009F7AE5" w:rsidRDefault="009F7AE5" w:rsidP="0003045F">
      <w:pPr>
        <w:pStyle w:val="Heading1"/>
        <w:rPr>
          <w:lang w:val="en-GB"/>
        </w:rPr>
      </w:pPr>
      <w:bookmarkStart w:id="0" w:name="_Toc381779047"/>
      <w:bookmarkStart w:id="1" w:name="_Toc381875948"/>
      <w:r>
        <w:rPr>
          <w:lang w:val="en-GB"/>
        </w:rPr>
        <w:lastRenderedPageBreak/>
        <w:t>Introduction</w:t>
      </w:r>
      <w:bookmarkEnd w:id="0"/>
      <w:bookmarkEnd w:id="1"/>
    </w:p>
    <w:p w:rsidR="009F7AE5" w:rsidRPr="009F7AE5" w:rsidRDefault="009F7AE5" w:rsidP="009F7AE5">
      <w:pPr>
        <w:rPr>
          <w:lang w:val="en-AU"/>
        </w:rPr>
      </w:pPr>
      <w:r w:rsidRPr="009F7AE5">
        <w:rPr>
          <w:lang w:val="en-AU"/>
        </w:rPr>
        <w:t xml:space="preserve">Australia experiences a range of 'natural disasters' including bushfires, floods, severe storms, </w:t>
      </w:r>
      <w:r>
        <w:rPr>
          <w:lang w:val="en-AU"/>
        </w:rPr>
        <w:t xml:space="preserve">tropical cyclones, heatwaves, </w:t>
      </w:r>
      <w:r w:rsidRPr="009F7AE5">
        <w:rPr>
          <w:lang w:val="en-AU"/>
        </w:rPr>
        <w:t>earthquakes and landslides. These events cause great financial hardship for individuals and communities, and can result in loss of life.</w:t>
      </w:r>
    </w:p>
    <w:p w:rsidR="009F7AE5" w:rsidRPr="009F7AE5" w:rsidRDefault="009F7AE5" w:rsidP="009F7AE5">
      <w:pPr>
        <w:rPr>
          <w:lang w:val="en-AU"/>
        </w:rPr>
      </w:pPr>
      <w:r w:rsidRPr="009F7AE5">
        <w:rPr>
          <w:lang w:val="en-AU"/>
        </w:rPr>
        <w:t>The experience of natural disaster has come to be seen as part of the Australian national character</w:t>
      </w:r>
      <w:r w:rsidR="003C50DB">
        <w:rPr>
          <w:lang w:val="en-AU"/>
        </w:rPr>
        <w:t>,</w:t>
      </w:r>
      <w:r w:rsidRPr="009F7AE5">
        <w:rPr>
          <w:lang w:val="en-AU"/>
        </w:rPr>
        <w:t xml:space="preserve"> as described in the poem '</w:t>
      </w:r>
      <w:hyperlink r:id="rId11" w:history="1">
        <w:r w:rsidRPr="009F7AE5">
          <w:rPr>
            <w:lang w:val="en-AU"/>
          </w:rPr>
          <w:t>My Country</w:t>
        </w:r>
      </w:hyperlink>
      <w:r w:rsidRPr="009F7AE5">
        <w:rPr>
          <w:lang w:val="en-AU"/>
        </w:rPr>
        <w:t>' by Dorot</w:t>
      </w:r>
      <w:r w:rsidR="001E5F49">
        <w:rPr>
          <w:lang w:val="en-AU"/>
        </w:rPr>
        <w:t>hea McKellar (1908</w:t>
      </w:r>
      <w:r w:rsidRPr="009F7AE5">
        <w:rPr>
          <w:lang w:val="en-AU"/>
        </w:rPr>
        <w:t>).</w:t>
      </w:r>
    </w:p>
    <w:p w:rsidR="009F7AE5" w:rsidRPr="009F7AE5" w:rsidRDefault="009F7AE5" w:rsidP="009F7AE5">
      <w:pPr>
        <w:ind w:left="708"/>
        <w:jc w:val="left"/>
        <w:rPr>
          <w:i/>
          <w:sz w:val="20"/>
          <w:szCs w:val="20"/>
          <w:lang w:val="en-AU"/>
        </w:rPr>
      </w:pPr>
      <w:r w:rsidRPr="009F7AE5">
        <w:rPr>
          <w:i/>
          <w:sz w:val="20"/>
          <w:szCs w:val="20"/>
          <w:lang w:val="en-AU"/>
        </w:rPr>
        <w:t>I love a sunburnt country, a land of sweeping plains</w:t>
      </w:r>
      <w:proofErr w:type="gramStart"/>
      <w:r w:rsidRPr="009F7AE5">
        <w:rPr>
          <w:i/>
          <w:sz w:val="20"/>
          <w:szCs w:val="20"/>
          <w:lang w:val="en-AU"/>
        </w:rPr>
        <w:t>,</w:t>
      </w:r>
      <w:proofErr w:type="gramEnd"/>
      <w:r w:rsidRPr="009F7AE5">
        <w:rPr>
          <w:i/>
          <w:sz w:val="20"/>
          <w:szCs w:val="20"/>
          <w:lang w:val="en-AU"/>
        </w:rPr>
        <w:br/>
        <w:t>Of ragged mountain ranges, of droughts and flooding rains.</w:t>
      </w:r>
      <w:r w:rsidRPr="009F7AE5">
        <w:rPr>
          <w:i/>
          <w:sz w:val="20"/>
          <w:szCs w:val="20"/>
          <w:lang w:val="en-AU"/>
        </w:rPr>
        <w:br/>
        <w:t>I love her far horizons, I love her jewel-sea</w:t>
      </w:r>
      <w:proofErr w:type="gramStart"/>
      <w:r w:rsidRPr="009F7AE5">
        <w:rPr>
          <w:i/>
          <w:sz w:val="20"/>
          <w:szCs w:val="20"/>
          <w:lang w:val="en-AU"/>
        </w:rPr>
        <w:t>,</w:t>
      </w:r>
      <w:proofErr w:type="gramEnd"/>
      <w:r w:rsidRPr="009F7AE5">
        <w:rPr>
          <w:i/>
          <w:sz w:val="20"/>
          <w:szCs w:val="20"/>
          <w:lang w:val="en-AU"/>
        </w:rPr>
        <w:br/>
        <w:t>Her beauty and her terror - the wide brown land for me!</w:t>
      </w:r>
    </w:p>
    <w:p w:rsidR="004F2AA2" w:rsidRDefault="009F7AE5" w:rsidP="009F7AE5">
      <w:pPr>
        <w:rPr>
          <w:lang w:val="en-AU"/>
        </w:rPr>
      </w:pPr>
      <w:r w:rsidRPr="009F7AE5">
        <w:rPr>
          <w:lang w:val="en-AU"/>
        </w:rPr>
        <w:t>In recent years</w:t>
      </w:r>
      <w:r>
        <w:rPr>
          <w:lang w:val="en-AU"/>
        </w:rPr>
        <w:t xml:space="preserve">, there have been several significant disasters in Australia including the 2009 Black Saturday bushfires in Victoria and the 2011 floods in Queensland and Victoria. There is evidence to show that the number and intensity of weather-related disasters will increase in the future due to anthropogenic climate change (Steffen, Hughes &amp; Perkins, 2014; </w:t>
      </w:r>
      <w:r w:rsidR="00A05EAD">
        <w:rPr>
          <w:lang w:val="en-AU"/>
        </w:rPr>
        <w:t>CSIRO &amp; Australian Bureau of Meteorology, 2014</w:t>
      </w:r>
      <w:r w:rsidR="00FE7487">
        <w:rPr>
          <w:lang w:val="en-AU"/>
        </w:rPr>
        <w:t xml:space="preserve">). </w:t>
      </w:r>
    </w:p>
    <w:p w:rsidR="009F7AE5" w:rsidRDefault="00FE7487" w:rsidP="009F7AE5">
      <w:pPr>
        <w:rPr>
          <w:lang w:val="en-AU"/>
        </w:rPr>
      </w:pPr>
      <w:r>
        <w:rPr>
          <w:lang w:val="en-AU"/>
        </w:rPr>
        <w:t>Youth</w:t>
      </w:r>
      <w:r w:rsidR="004F2AA2">
        <w:rPr>
          <w:lang w:val="en-AU"/>
        </w:rPr>
        <w:t xml:space="preserve"> </w:t>
      </w:r>
      <w:r>
        <w:rPr>
          <w:lang w:val="en-AU"/>
        </w:rPr>
        <w:t xml:space="preserve">have been identified as </w:t>
      </w:r>
      <w:r w:rsidR="004F2AA2">
        <w:rPr>
          <w:lang w:val="en-AU"/>
        </w:rPr>
        <w:t>being</w:t>
      </w:r>
      <w:r>
        <w:rPr>
          <w:lang w:val="en-AU"/>
        </w:rPr>
        <w:t xml:space="preserve"> particularly vulnerable to disasters in Australia</w:t>
      </w:r>
      <w:r w:rsidR="004F2AA2">
        <w:rPr>
          <w:lang w:val="en-AU"/>
        </w:rPr>
        <w:t xml:space="preserve"> (Davie, 2013).</w:t>
      </w:r>
      <w:r>
        <w:rPr>
          <w:lang w:val="en-AU"/>
        </w:rPr>
        <w:t xml:space="preserve"> </w:t>
      </w:r>
    </w:p>
    <w:p w:rsidR="004F2AA2" w:rsidRDefault="00FE7487" w:rsidP="00FE7487">
      <w:pPr>
        <w:rPr>
          <w:lang w:val="en-AU"/>
        </w:rPr>
      </w:pPr>
      <w:r w:rsidRPr="004F2AA2">
        <w:rPr>
          <w:lang w:val="en-AU"/>
        </w:rPr>
        <w:t xml:space="preserve">Researchers such as Ronan and Johnston </w:t>
      </w:r>
      <w:r w:rsidR="003C50DB">
        <w:rPr>
          <w:lang w:val="en-AU"/>
        </w:rPr>
        <w:t>(2005</w:t>
      </w:r>
      <w:r w:rsidRPr="004F2AA2">
        <w:rPr>
          <w:lang w:val="en-AU"/>
        </w:rPr>
        <w:t>) stress the importance of school disaster education and the youth-school-family network in building community resilience to disasters. They base this view on research which demonstrates that ‘youth and families comprise risk groups for increased problems following a ha</w:t>
      </w:r>
      <w:r w:rsidR="004F2AA2">
        <w:rPr>
          <w:lang w:val="en-AU"/>
        </w:rPr>
        <w:t>zardous event’. They argue that:</w:t>
      </w:r>
      <w:r w:rsidRPr="004F2AA2">
        <w:rPr>
          <w:lang w:val="en-AU"/>
        </w:rPr>
        <w:t xml:space="preserve"> </w:t>
      </w:r>
    </w:p>
    <w:p w:rsidR="004F2AA2" w:rsidRPr="004F2AA2" w:rsidRDefault="00FE7487" w:rsidP="004F2AA2">
      <w:pPr>
        <w:ind w:left="708"/>
        <w:rPr>
          <w:i/>
          <w:sz w:val="20"/>
          <w:szCs w:val="20"/>
          <w:lang w:val="en-AU"/>
        </w:rPr>
      </w:pPr>
      <w:r w:rsidRPr="004F2AA2">
        <w:rPr>
          <w:i/>
          <w:sz w:val="20"/>
          <w:szCs w:val="20"/>
          <w:lang w:val="en-AU"/>
        </w:rPr>
        <w:t>‘</w:t>
      </w:r>
      <w:proofErr w:type="gramStart"/>
      <w:r w:rsidRPr="004F2AA2">
        <w:rPr>
          <w:i/>
          <w:sz w:val="20"/>
          <w:szCs w:val="20"/>
          <w:lang w:val="en-AU"/>
        </w:rPr>
        <w:t>a</w:t>
      </w:r>
      <w:proofErr w:type="gramEnd"/>
      <w:r w:rsidRPr="004F2AA2">
        <w:rPr>
          <w:i/>
          <w:sz w:val="20"/>
          <w:szCs w:val="20"/>
          <w:lang w:val="en-AU"/>
        </w:rPr>
        <w:t xml:space="preserve"> focus on educating youth, the adults of tomorrow, has considerable promise. However, in terms of more current concerns, youth also link into the family setting who, in turn, link into multipl</w:t>
      </w:r>
      <w:r w:rsidR="001C6C6B">
        <w:rPr>
          <w:i/>
          <w:sz w:val="20"/>
          <w:szCs w:val="20"/>
          <w:lang w:val="en-AU"/>
        </w:rPr>
        <w:t>e community settings and groups</w:t>
      </w:r>
      <w:r w:rsidRPr="004F2AA2">
        <w:rPr>
          <w:i/>
          <w:sz w:val="20"/>
          <w:szCs w:val="20"/>
          <w:lang w:val="en-AU"/>
        </w:rPr>
        <w:t>.</w:t>
      </w:r>
      <w:r w:rsidR="001C6C6B">
        <w:rPr>
          <w:i/>
          <w:sz w:val="20"/>
          <w:szCs w:val="20"/>
          <w:lang w:val="en-AU"/>
        </w:rPr>
        <w:t>’</w:t>
      </w:r>
      <w:r w:rsidRPr="004F2AA2">
        <w:rPr>
          <w:i/>
          <w:sz w:val="20"/>
          <w:szCs w:val="20"/>
          <w:lang w:val="en-AU"/>
        </w:rPr>
        <w:t xml:space="preserve"> </w:t>
      </w:r>
      <w:r w:rsidR="004F2AA2">
        <w:rPr>
          <w:i/>
          <w:sz w:val="20"/>
          <w:szCs w:val="20"/>
          <w:lang w:val="en-AU"/>
        </w:rPr>
        <w:t>(</w:t>
      </w:r>
      <w:r w:rsidR="004F2AA2" w:rsidRPr="004F2AA2">
        <w:rPr>
          <w:i/>
          <w:sz w:val="20"/>
          <w:szCs w:val="20"/>
          <w:lang w:val="en-AU"/>
        </w:rPr>
        <w:t>Ronan and Johnston, 2005</w:t>
      </w:r>
      <w:r w:rsidR="003C50DB">
        <w:rPr>
          <w:i/>
          <w:sz w:val="20"/>
          <w:szCs w:val="20"/>
          <w:lang w:val="en-AU"/>
        </w:rPr>
        <w:t>, p. 5</w:t>
      </w:r>
      <w:r w:rsidR="004F2AA2" w:rsidRPr="004F2AA2">
        <w:rPr>
          <w:i/>
          <w:sz w:val="20"/>
          <w:szCs w:val="20"/>
          <w:lang w:val="en-AU"/>
        </w:rPr>
        <w:t>)</w:t>
      </w:r>
    </w:p>
    <w:p w:rsidR="00FE7487" w:rsidRPr="00AB31E4" w:rsidRDefault="00FE7487" w:rsidP="00AB31E4">
      <w:pPr>
        <w:rPr>
          <w:lang w:val="en-AU"/>
        </w:rPr>
      </w:pPr>
      <w:r w:rsidRPr="004F2AA2">
        <w:rPr>
          <w:lang w:val="en-AU"/>
        </w:rPr>
        <w:t>They add that disaster education</w:t>
      </w:r>
      <w:r w:rsidR="00AB31E4">
        <w:rPr>
          <w:lang w:val="en-AU"/>
        </w:rPr>
        <w:t xml:space="preserve"> in schools ‘</w:t>
      </w:r>
      <w:r w:rsidRPr="00AB31E4">
        <w:rPr>
          <w:lang w:val="en-AU"/>
        </w:rPr>
        <w:t>can play a vital role in increasing a community being ready, willing, and able to do what is necessary to prepare for and respond to a disaster’</w:t>
      </w:r>
      <w:r w:rsidR="004F2AA2" w:rsidRPr="00AB31E4">
        <w:rPr>
          <w:lang w:val="en-AU"/>
        </w:rPr>
        <w:t>.</w:t>
      </w:r>
      <w:r w:rsidRPr="00AB31E4">
        <w:rPr>
          <w:lang w:val="en-AU"/>
        </w:rPr>
        <w:t xml:space="preserve"> (Ronan </w:t>
      </w:r>
      <w:r w:rsidR="001E5F49">
        <w:rPr>
          <w:lang w:val="en-AU"/>
        </w:rPr>
        <w:t>and</w:t>
      </w:r>
      <w:r w:rsidRPr="00AB31E4">
        <w:rPr>
          <w:lang w:val="en-AU"/>
        </w:rPr>
        <w:t xml:space="preserve"> Johnston</w:t>
      </w:r>
      <w:r w:rsidR="004F2AA2" w:rsidRPr="00AB31E4">
        <w:rPr>
          <w:lang w:val="en-AU"/>
        </w:rPr>
        <w:t>,</w:t>
      </w:r>
      <w:r w:rsidRPr="00AB31E4">
        <w:rPr>
          <w:lang w:val="en-AU"/>
        </w:rPr>
        <w:t xml:space="preserve"> 2005</w:t>
      </w:r>
      <w:r w:rsidR="003C50DB">
        <w:rPr>
          <w:lang w:val="en-AU"/>
        </w:rPr>
        <w:t>,</w:t>
      </w:r>
      <w:r w:rsidRPr="00AB31E4">
        <w:rPr>
          <w:lang w:val="en-AU"/>
        </w:rPr>
        <w:t xml:space="preserve"> p.</w:t>
      </w:r>
      <w:r w:rsidR="004F2AA2" w:rsidRPr="00AB31E4">
        <w:rPr>
          <w:lang w:val="en-AU"/>
        </w:rPr>
        <w:t xml:space="preserve"> 95)</w:t>
      </w:r>
    </w:p>
    <w:p w:rsidR="00FE7487" w:rsidRPr="004F2AA2" w:rsidRDefault="00FE7487" w:rsidP="00FE7487">
      <w:pPr>
        <w:rPr>
          <w:lang w:val="en-AU"/>
        </w:rPr>
      </w:pPr>
      <w:r w:rsidRPr="004F2AA2">
        <w:rPr>
          <w:lang w:val="en-AU"/>
        </w:rPr>
        <w:t xml:space="preserve">The way in which students learn about disasters and hazards – both in and out of school – has been the focus of several </w:t>
      </w:r>
      <w:r w:rsidR="004F2AA2">
        <w:rPr>
          <w:lang w:val="en-AU"/>
        </w:rPr>
        <w:t xml:space="preserve">Australian </w:t>
      </w:r>
      <w:r w:rsidRPr="004F2AA2">
        <w:rPr>
          <w:lang w:val="en-AU"/>
        </w:rPr>
        <w:t>psychological studies. For example, Towers and Paton (2007) researched how children perceive bushfire risk and mitigation as the basis for developing more effective education strategies to increase levels of awareness and preparedness in areas susceptible to bushfires. Their researc</w:t>
      </w:r>
      <w:r w:rsidR="004F2AA2" w:rsidRPr="004F2AA2">
        <w:rPr>
          <w:lang w:val="en-AU"/>
        </w:rPr>
        <w:t>h raised two significant issues:</w:t>
      </w:r>
      <w:r w:rsidRPr="004F2AA2">
        <w:rPr>
          <w:lang w:val="en-AU"/>
        </w:rPr>
        <w:t xml:space="preserve"> </w:t>
      </w:r>
    </w:p>
    <w:p w:rsidR="00FE7487" w:rsidRPr="004F2AA2" w:rsidRDefault="00FE7487" w:rsidP="004F2AA2">
      <w:pPr>
        <w:ind w:left="708"/>
        <w:rPr>
          <w:i/>
          <w:sz w:val="20"/>
          <w:szCs w:val="20"/>
          <w:lang w:val="en-AU"/>
        </w:rPr>
      </w:pPr>
      <w:r w:rsidRPr="004F2AA2">
        <w:rPr>
          <w:i/>
          <w:sz w:val="20"/>
          <w:szCs w:val="20"/>
          <w:lang w:val="en-AU"/>
        </w:rPr>
        <w:t xml:space="preserve">‘Firstly, children’s understanding of concepts such as causality and prevention are strongly influenced by age-related changes in cognitive ability. Secondly, the acquisition of knowledge about risk and mitigation takes place in a social context, with some elements of social context exerting more influence than others.’ (Towers </w:t>
      </w:r>
      <w:r w:rsidR="001E5F49">
        <w:rPr>
          <w:i/>
          <w:sz w:val="20"/>
          <w:szCs w:val="20"/>
          <w:lang w:val="en-AU"/>
        </w:rPr>
        <w:t xml:space="preserve">and </w:t>
      </w:r>
      <w:r w:rsidRPr="004F2AA2">
        <w:rPr>
          <w:i/>
          <w:sz w:val="20"/>
          <w:szCs w:val="20"/>
          <w:lang w:val="en-AU"/>
        </w:rPr>
        <w:t>Paton</w:t>
      </w:r>
      <w:r w:rsidR="004F2AA2" w:rsidRPr="004F2AA2">
        <w:rPr>
          <w:i/>
          <w:sz w:val="20"/>
          <w:szCs w:val="20"/>
          <w:lang w:val="en-AU"/>
        </w:rPr>
        <w:t>,</w:t>
      </w:r>
      <w:r w:rsidRPr="004F2AA2">
        <w:rPr>
          <w:i/>
          <w:sz w:val="20"/>
          <w:szCs w:val="20"/>
          <w:lang w:val="en-AU"/>
        </w:rPr>
        <w:t xml:space="preserve"> 2007)</w:t>
      </w:r>
    </w:p>
    <w:p w:rsidR="009F7AE5" w:rsidRDefault="009F7AE5" w:rsidP="009F7AE5">
      <w:pPr>
        <w:shd w:val="clear" w:color="auto" w:fill="FFFFFF"/>
        <w:spacing w:before="300" w:after="300" w:line="360" w:lineRule="atLeast"/>
        <w:rPr>
          <w:rFonts w:ascii="Open Sans" w:hAnsi="Open Sans"/>
          <w:i/>
          <w:iCs/>
          <w:color w:val="000000"/>
          <w:sz w:val="28"/>
          <w:szCs w:val="28"/>
        </w:rPr>
      </w:pPr>
    </w:p>
    <w:p w:rsidR="004F2AA2" w:rsidRDefault="004F2AA2" w:rsidP="004F2AA2">
      <w:pPr>
        <w:pStyle w:val="Heading1"/>
        <w:rPr>
          <w:lang w:val="en-GB"/>
        </w:rPr>
      </w:pPr>
      <w:bookmarkStart w:id="2" w:name="_Toc381779048"/>
      <w:bookmarkStart w:id="3" w:name="_Toc381875949"/>
      <w:r>
        <w:rPr>
          <w:lang w:val="en-GB"/>
        </w:rPr>
        <w:lastRenderedPageBreak/>
        <w:t>This paper</w:t>
      </w:r>
      <w:bookmarkEnd w:id="2"/>
      <w:bookmarkEnd w:id="3"/>
    </w:p>
    <w:p w:rsidR="000B16BD" w:rsidRDefault="000B16BD" w:rsidP="004F2AA2">
      <w:pPr>
        <w:rPr>
          <w:lang w:val="en-AU"/>
        </w:rPr>
      </w:pPr>
      <w:r w:rsidRPr="000B16BD">
        <w:rPr>
          <w:lang w:val="en-AU"/>
        </w:rPr>
        <w:t>Disaster Risk Reduction (DRR) aims to reduce the damage caused by natural hazards like earthquakes, floods, droughts and cyclones, through an ethic of prevention (UNISDR, 2014).</w:t>
      </w:r>
    </w:p>
    <w:p w:rsidR="003B321E" w:rsidRDefault="003B321E" w:rsidP="004F2AA2">
      <w:pPr>
        <w:rPr>
          <w:lang w:val="en-AU"/>
        </w:rPr>
      </w:pPr>
      <w:r w:rsidRPr="003B321E">
        <w:rPr>
          <w:lang w:val="en-AU"/>
        </w:rPr>
        <w:t xml:space="preserve">The 10-year Hyogo Framework for Action (HFA) came out of the World Conference held in Kobe, Hyogo, Japan in January 2005. The HFA is the first plan to explain, describe and detail the work that is required from all different sectors and actors to reduce disaster losses. It was developed and agreed on with the many partners needed to reduce disaster risk - governments, international agencies, disaster experts and many others - bringing them into a common system of coordination. </w:t>
      </w:r>
    </w:p>
    <w:p w:rsidR="004F2AA2" w:rsidRPr="003B321E" w:rsidRDefault="003B321E" w:rsidP="004F2AA2">
      <w:pPr>
        <w:rPr>
          <w:lang w:val="en-AU"/>
        </w:rPr>
      </w:pPr>
      <w:r w:rsidRPr="003B321E">
        <w:rPr>
          <w:lang w:val="en-AU"/>
        </w:rPr>
        <w:t>The HFA outlines five priorities for action, and offers guiding principles and practical means for achieving disaster resilience. Its goal is to substantially reduce disaster losses by 2015 by building the resilience of nations and communities to disasters.</w:t>
      </w:r>
    </w:p>
    <w:p w:rsidR="004F2AA2" w:rsidRDefault="00E761C5" w:rsidP="00E761C5">
      <w:pPr>
        <w:rPr>
          <w:lang w:val="en-AU"/>
        </w:rPr>
      </w:pPr>
      <w:r w:rsidRPr="00E761C5">
        <w:rPr>
          <w:lang w:val="en-AU"/>
        </w:rPr>
        <w:t xml:space="preserve">The United Nations Office for Disaster Risk Reduction (UNISDR) </w:t>
      </w:r>
      <w:r>
        <w:rPr>
          <w:lang w:val="en-AU"/>
        </w:rPr>
        <w:t>has issued a call for input papers</w:t>
      </w:r>
      <w:r w:rsidRPr="00E761C5">
        <w:rPr>
          <w:lang w:val="en-AU"/>
        </w:rPr>
        <w:t xml:space="preserve"> as part of the development of the 2015 Global Assessment Report (GAR15). The GAR15 will be published prior to the World Conference on Disaster Risk Reduction in 2015, in which governments will adopt a successor framework to the </w:t>
      </w:r>
      <w:r>
        <w:rPr>
          <w:lang w:val="en-AU"/>
        </w:rPr>
        <w:t>HFA</w:t>
      </w:r>
      <w:r w:rsidRPr="00E761C5">
        <w:rPr>
          <w:lang w:val="en-AU"/>
        </w:rPr>
        <w:t>.</w:t>
      </w:r>
    </w:p>
    <w:p w:rsidR="00E761C5" w:rsidRDefault="00E761C5" w:rsidP="00E761C5">
      <w:pPr>
        <w:rPr>
          <w:lang w:val="en-AU"/>
        </w:rPr>
      </w:pPr>
      <w:r>
        <w:rPr>
          <w:lang w:val="en-AU"/>
        </w:rPr>
        <w:t>This input paper addresses Research</w:t>
      </w:r>
      <w:r w:rsidR="000B16BD">
        <w:rPr>
          <w:lang w:val="en-AU"/>
        </w:rPr>
        <w:t xml:space="preserve"> Area</w:t>
      </w:r>
      <w:r>
        <w:rPr>
          <w:lang w:val="en-AU"/>
        </w:rPr>
        <w:t xml:space="preserve"> </w:t>
      </w:r>
      <w:r w:rsidR="000B16BD">
        <w:rPr>
          <w:lang w:val="en-AU"/>
        </w:rPr>
        <w:t>5, Priority for Action 3 – Core Indicator 2 from the HFA:</w:t>
      </w:r>
    </w:p>
    <w:p w:rsidR="000B16BD" w:rsidRPr="000B16BD" w:rsidRDefault="000B16BD" w:rsidP="000B16BD">
      <w:pPr>
        <w:ind w:left="708"/>
        <w:rPr>
          <w:i/>
          <w:sz w:val="20"/>
          <w:szCs w:val="20"/>
          <w:lang w:val="en-AU"/>
        </w:rPr>
      </w:pPr>
      <w:r w:rsidRPr="000B16BD">
        <w:rPr>
          <w:i/>
          <w:sz w:val="20"/>
          <w:szCs w:val="20"/>
          <w:lang w:val="en-AU"/>
        </w:rPr>
        <w:t>School curricula, education material and relevant training include disaster risk reduction and recovery concepts and practices.</w:t>
      </w:r>
    </w:p>
    <w:p w:rsidR="000B16BD" w:rsidRPr="000B16BD" w:rsidRDefault="000B16BD" w:rsidP="000B16BD">
      <w:pPr>
        <w:rPr>
          <w:lang w:val="en-AU"/>
        </w:rPr>
      </w:pPr>
      <w:r>
        <w:rPr>
          <w:lang w:val="en-AU"/>
        </w:rPr>
        <w:t xml:space="preserve">In this context, the paper aims to review progress in the integration of DRR into Australian school curricula programs and support materials since 2005. </w:t>
      </w:r>
    </w:p>
    <w:p w:rsidR="00E761C5" w:rsidRDefault="00E761C5" w:rsidP="00E761C5">
      <w:pPr>
        <w:pStyle w:val="Heading1"/>
        <w:rPr>
          <w:lang w:val="en-GB"/>
        </w:rPr>
      </w:pPr>
      <w:bookmarkStart w:id="4" w:name="_Toc381779049"/>
      <w:bookmarkStart w:id="5" w:name="_Toc381875950"/>
      <w:r>
        <w:rPr>
          <w:lang w:val="en-GB"/>
        </w:rPr>
        <w:t>Methodology</w:t>
      </w:r>
      <w:bookmarkEnd w:id="4"/>
      <w:bookmarkEnd w:id="5"/>
    </w:p>
    <w:p w:rsidR="009F7AE5" w:rsidRDefault="00EF0BFE" w:rsidP="009F7AE5">
      <w:pPr>
        <w:rPr>
          <w:lang w:val="en-GB"/>
        </w:rPr>
      </w:pPr>
      <w:r>
        <w:rPr>
          <w:lang w:val="en-GB"/>
        </w:rPr>
        <w:t xml:space="preserve">This review was conducted in relation to the study entitled </w:t>
      </w:r>
      <w:r w:rsidRPr="00EF0BFE">
        <w:rPr>
          <w:i/>
          <w:lang w:val="en-GB"/>
        </w:rPr>
        <w:t>Disaster risk reduction in school curricula: case studies from thirty countries</w:t>
      </w:r>
      <w:r>
        <w:rPr>
          <w:lang w:val="en-GB"/>
        </w:rPr>
        <w:t xml:space="preserve"> (UNESCO/UNICEF, 2012). This study provided guidance to the issues examined in the review and </w:t>
      </w:r>
      <w:r w:rsidR="006D73E9">
        <w:rPr>
          <w:lang w:val="en-GB"/>
        </w:rPr>
        <w:t>forms</w:t>
      </w:r>
      <w:r>
        <w:rPr>
          <w:lang w:val="en-GB"/>
        </w:rPr>
        <w:t xml:space="preserve"> the basis for the discussion section.</w:t>
      </w:r>
    </w:p>
    <w:p w:rsidR="00EF0BFE" w:rsidRDefault="00EF0BFE" w:rsidP="00EF0BFE">
      <w:pPr>
        <w:rPr>
          <w:lang w:val="en-GB"/>
        </w:rPr>
      </w:pPr>
      <w:r>
        <w:rPr>
          <w:lang w:val="en-GB"/>
        </w:rPr>
        <w:t xml:space="preserve">According </w:t>
      </w:r>
      <w:r w:rsidRPr="00EF0BFE">
        <w:rPr>
          <w:lang w:val="en-GB"/>
        </w:rPr>
        <w:t xml:space="preserve">to Shaw, </w:t>
      </w:r>
      <w:proofErr w:type="spellStart"/>
      <w:r w:rsidRPr="00EF0BFE">
        <w:rPr>
          <w:lang w:val="en-GB"/>
        </w:rPr>
        <w:t>Shiwaku</w:t>
      </w:r>
      <w:proofErr w:type="spellEnd"/>
      <w:r w:rsidRPr="00EF0BFE">
        <w:rPr>
          <w:lang w:val="en-GB"/>
        </w:rPr>
        <w:t xml:space="preserve"> </w:t>
      </w:r>
      <w:r w:rsidR="006D73E9">
        <w:rPr>
          <w:lang w:val="en-GB"/>
        </w:rPr>
        <w:t>and</w:t>
      </w:r>
      <w:r w:rsidRPr="00EF0BFE">
        <w:rPr>
          <w:lang w:val="en-GB"/>
        </w:rPr>
        <w:t xml:space="preserve"> Takeuchi (2011), DRR education can be broadly classified into three modes:</w:t>
      </w:r>
    </w:p>
    <w:p w:rsidR="00EF0BFE" w:rsidRPr="00EF0BFE" w:rsidRDefault="00EF0BFE" w:rsidP="00EF0BFE">
      <w:pPr>
        <w:pStyle w:val="ListParagraph"/>
        <w:numPr>
          <w:ilvl w:val="0"/>
          <w:numId w:val="5"/>
        </w:numPr>
        <w:rPr>
          <w:lang w:val="en-GB"/>
        </w:rPr>
      </w:pPr>
      <w:r w:rsidRPr="00EF0BFE">
        <w:rPr>
          <w:lang w:val="en-GB"/>
        </w:rPr>
        <w:t xml:space="preserve">Formal education. </w:t>
      </w:r>
      <w:r w:rsidRPr="00EF0BFE">
        <w:rPr>
          <w:lang w:val="en-AU"/>
        </w:rPr>
        <w:t xml:space="preserve">Disaster education provided in schools, colleges, universities and other formal institutions. Typically, this mode of disaster education has ‘structured learning objectives, learning time, and learning support’ (Shaw, </w:t>
      </w:r>
      <w:proofErr w:type="spellStart"/>
      <w:r w:rsidRPr="00EF0BFE">
        <w:rPr>
          <w:lang w:val="en-AU"/>
        </w:rPr>
        <w:t>Shiwaku</w:t>
      </w:r>
      <w:proofErr w:type="spellEnd"/>
      <w:r w:rsidRPr="00EF0BFE">
        <w:rPr>
          <w:lang w:val="en-AU"/>
        </w:rPr>
        <w:t xml:space="preserve"> </w:t>
      </w:r>
      <w:r w:rsidR="006D73E9">
        <w:rPr>
          <w:lang w:val="en-AU"/>
        </w:rPr>
        <w:t>and</w:t>
      </w:r>
      <w:r w:rsidRPr="00EF0BFE">
        <w:rPr>
          <w:lang w:val="en-AU"/>
        </w:rPr>
        <w:t xml:space="preserve"> Takeuchi, 2011, p. 3).</w:t>
      </w:r>
    </w:p>
    <w:p w:rsidR="00EF0BFE" w:rsidRPr="00EF0BFE" w:rsidRDefault="00EF0BFE" w:rsidP="00EF0BFE">
      <w:pPr>
        <w:pStyle w:val="ListParagraph"/>
        <w:numPr>
          <w:ilvl w:val="0"/>
          <w:numId w:val="5"/>
        </w:numPr>
        <w:rPr>
          <w:lang w:val="en-GB"/>
        </w:rPr>
      </w:pPr>
      <w:r w:rsidRPr="00EF0BFE">
        <w:rPr>
          <w:lang w:val="en-AU"/>
        </w:rPr>
        <w:t>Non-formal education. Structured learning provided outside of the formal education system e.g. extra-curricular activities in schools such as presentations by emergency agencies. This mode complements formal education and is often run in conjunction with it.</w:t>
      </w:r>
    </w:p>
    <w:p w:rsidR="00EF0BFE" w:rsidRPr="00EF0BFE" w:rsidRDefault="00EF0BFE" w:rsidP="00EF0BFE">
      <w:pPr>
        <w:pStyle w:val="ListParagraph"/>
        <w:numPr>
          <w:ilvl w:val="0"/>
          <w:numId w:val="5"/>
        </w:numPr>
        <w:rPr>
          <w:lang w:val="en-GB"/>
        </w:rPr>
      </w:pPr>
      <w:r w:rsidRPr="00EF0BFE">
        <w:rPr>
          <w:lang w:val="en-GB"/>
        </w:rPr>
        <w:t xml:space="preserve">Informal education. </w:t>
      </w:r>
      <w:r w:rsidRPr="00EF0BFE">
        <w:rPr>
          <w:lang w:val="en-AU"/>
        </w:rPr>
        <w:t>‘Results from daily activities related to work, family life or leisure. It is not structured and usually does not lead to certification. In</w:t>
      </w:r>
      <w:r>
        <w:rPr>
          <w:lang w:val="en-AU"/>
        </w:rPr>
        <w:t xml:space="preserve"> most cases</w:t>
      </w:r>
      <w:r w:rsidRPr="00EF0BFE">
        <w:rPr>
          <w:lang w:val="en-AU"/>
        </w:rPr>
        <w:t xml:space="preserve"> it is unintentional on the part of the learner’ (Shaw, </w:t>
      </w:r>
      <w:proofErr w:type="spellStart"/>
      <w:r w:rsidRPr="00EF0BFE">
        <w:rPr>
          <w:lang w:val="en-AU"/>
        </w:rPr>
        <w:t>Shiwaku</w:t>
      </w:r>
      <w:proofErr w:type="spellEnd"/>
      <w:r w:rsidRPr="00EF0BFE">
        <w:rPr>
          <w:lang w:val="en-AU"/>
        </w:rPr>
        <w:t xml:space="preserve"> </w:t>
      </w:r>
      <w:r w:rsidR="006D73E9">
        <w:rPr>
          <w:lang w:val="en-AU"/>
        </w:rPr>
        <w:t>and</w:t>
      </w:r>
      <w:r w:rsidRPr="00EF0BFE">
        <w:rPr>
          <w:lang w:val="en-AU"/>
        </w:rPr>
        <w:t xml:space="preserve"> Takeuchi, 2011, p. 3).</w:t>
      </w:r>
    </w:p>
    <w:p w:rsidR="00EF0BFE" w:rsidRDefault="00EF0BFE" w:rsidP="00EF0BFE">
      <w:pPr>
        <w:rPr>
          <w:lang w:val="en-GB"/>
        </w:rPr>
      </w:pPr>
      <w:r>
        <w:rPr>
          <w:lang w:val="en-GB"/>
        </w:rPr>
        <w:lastRenderedPageBreak/>
        <w:t xml:space="preserve">As the main focus of this review is on DRR integration into the Australian curriculum, it largely examines the ‘formal’ education mode. </w:t>
      </w:r>
    </w:p>
    <w:p w:rsidR="00EF0BFE" w:rsidRPr="00EF0BFE" w:rsidRDefault="00EF0BFE" w:rsidP="00F12436">
      <w:pPr>
        <w:rPr>
          <w:lang w:val="en-GB"/>
        </w:rPr>
      </w:pPr>
      <w:r>
        <w:rPr>
          <w:lang w:val="en-GB"/>
        </w:rPr>
        <w:t xml:space="preserve">To review changes in DRR integration into the Australian curriculum over time (that is, since 2005), several relevant studies were collected and analysed. A main tool </w:t>
      </w:r>
      <w:r w:rsidR="00F12436">
        <w:rPr>
          <w:lang w:val="en-GB"/>
        </w:rPr>
        <w:t xml:space="preserve">used </w:t>
      </w:r>
      <w:r>
        <w:rPr>
          <w:lang w:val="en-GB"/>
        </w:rPr>
        <w:t xml:space="preserve">in assessing </w:t>
      </w:r>
      <w:r w:rsidR="00F12436">
        <w:rPr>
          <w:lang w:val="en-GB"/>
        </w:rPr>
        <w:t xml:space="preserve">prior and current DRR integration was </w:t>
      </w:r>
      <w:r w:rsidR="00F12436" w:rsidRPr="00137F96">
        <w:rPr>
          <w:rFonts w:ascii="Arial" w:hAnsi="Arial" w:cs="Arial"/>
          <w:lang w:val="en-AU"/>
        </w:rPr>
        <w:t>‘curriculum mapping’</w:t>
      </w:r>
      <w:r w:rsidR="00F12436">
        <w:rPr>
          <w:rFonts w:ascii="Arial" w:hAnsi="Arial" w:cs="Arial"/>
          <w:lang w:val="en-AU"/>
        </w:rPr>
        <w:t>.</w:t>
      </w:r>
      <w:r w:rsidR="00F12436" w:rsidRPr="00137F96">
        <w:rPr>
          <w:rFonts w:ascii="Arial" w:hAnsi="Arial" w:cs="Arial"/>
          <w:lang w:val="en-AU"/>
        </w:rPr>
        <w:t xml:space="preserve"> Curriculum mapping is a ‘technique for exploring the primary elements of curriculum: what is taught; how instruction occurs; and, when instruction is delivered’ (Rubicon Atlas</w:t>
      </w:r>
      <w:r w:rsidR="007E7028">
        <w:rPr>
          <w:rFonts w:ascii="Arial" w:hAnsi="Arial" w:cs="Arial"/>
          <w:lang w:val="en-AU"/>
        </w:rPr>
        <w:t>,</w:t>
      </w:r>
      <w:r w:rsidR="00F12436" w:rsidRPr="00137F96">
        <w:rPr>
          <w:rFonts w:ascii="Arial" w:hAnsi="Arial" w:cs="Arial"/>
          <w:lang w:val="en-AU"/>
        </w:rPr>
        <w:t xml:space="preserve"> 2013).</w:t>
      </w:r>
    </w:p>
    <w:p w:rsidR="00EF0BFE" w:rsidRDefault="00F12436" w:rsidP="00EF0BFE">
      <w:pPr>
        <w:rPr>
          <w:lang w:val="en-GB"/>
        </w:rPr>
      </w:pPr>
      <w:r>
        <w:rPr>
          <w:lang w:val="en-GB"/>
        </w:rPr>
        <w:t xml:space="preserve">All major emergency agencies in Australia were approached to supply data for the review. Data was also accessed from other emergency services organisations such as </w:t>
      </w:r>
      <w:r w:rsidR="006004BE">
        <w:rPr>
          <w:lang w:val="en-GB"/>
        </w:rPr>
        <w:t xml:space="preserve">the Australian </w:t>
      </w:r>
      <w:r>
        <w:rPr>
          <w:lang w:val="en-GB"/>
        </w:rPr>
        <w:t>Red Cross and Green Cross Australia. Data provided consisted of:</w:t>
      </w:r>
    </w:p>
    <w:p w:rsidR="00F12436" w:rsidRDefault="00F12436" w:rsidP="00F12436">
      <w:pPr>
        <w:pStyle w:val="ListParagraph"/>
        <w:numPr>
          <w:ilvl w:val="0"/>
          <w:numId w:val="6"/>
        </w:numPr>
        <w:rPr>
          <w:lang w:val="en-GB"/>
        </w:rPr>
      </w:pPr>
      <w:r>
        <w:rPr>
          <w:lang w:val="en-GB"/>
        </w:rPr>
        <w:t>Reports</w:t>
      </w:r>
    </w:p>
    <w:p w:rsidR="00F12436" w:rsidRDefault="00F12436" w:rsidP="00F12436">
      <w:pPr>
        <w:pStyle w:val="ListParagraph"/>
        <w:numPr>
          <w:ilvl w:val="0"/>
          <w:numId w:val="6"/>
        </w:numPr>
        <w:rPr>
          <w:lang w:val="en-GB"/>
        </w:rPr>
      </w:pPr>
      <w:r>
        <w:rPr>
          <w:lang w:val="en-GB"/>
        </w:rPr>
        <w:t>Curriculum maps</w:t>
      </w:r>
    </w:p>
    <w:p w:rsidR="00F12436" w:rsidRDefault="00F12436" w:rsidP="00F12436">
      <w:pPr>
        <w:pStyle w:val="ListParagraph"/>
        <w:numPr>
          <w:ilvl w:val="0"/>
          <w:numId w:val="6"/>
        </w:numPr>
        <w:rPr>
          <w:lang w:val="en-GB"/>
        </w:rPr>
      </w:pPr>
      <w:proofErr w:type="spellStart"/>
      <w:r>
        <w:rPr>
          <w:lang w:val="en-GB"/>
        </w:rPr>
        <w:t>Weblinks</w:t>
      </w:r>
      <w:proofErr w:type="spellEnd"/>
    </w:p>
    <w:p w:rsidR="00F12436" w:rsidRDefault="00F12436" w:rsidP="00F12436">
      <w:pPr>
        <w:pStyle w:val="ListParagraph"/>
        <w:numPr>
          <w:ilvl w:val="0"/>
          <w:numId w:val="6"/>
        </w:numPr>
        <w:rPr>
          <w:lang w:val="en-GB"/>
        </w:rPr>
      </w:pPr>
      <w:r>
        <w:rPr>
          <w:lang w:val="en-GB"/>
        </w:rPr>
        <w:t>Teacher professional guides and manuals</w:t>
      </w:r>
    </w:p>
    <w:p w:rsidR="00F12436" w:rsidRDefault="00F12436" w:rsidP="00F12436">
      <w:pPr>
        <w:pStyle w:val="ListParagraph"/>
        <w:numPr>
          <w:ilvl w:val="0"/>
          <w:numId w:val="6"/>
        </w:numPr>
        <w:rPr>
          <w:lang w:val="en-GB"/>
        </w:rPr>
      </w:pPr>
      <w:r>
        <w:rPr>
          <w:lang w:val="en-GB"/>
        </w:rPr>
        <w:t>Student learning resources (e.g. games, workbooks)</w:t>
      </w:r>
    </w:p>
    <w:p w:rsidR="00F12436" w:rsidRDefault="00F12436" w:rsidP="00F12436">
      <w:pPr>
        <w:rPr>
          <w:lang w:val="en-GB"/>
        </w:rPr>
      </w:pPr>
      <w:r>
        <w:rPr>
          <w:lang w:val="en-GB"/>
        </w:rPr>
        <w:t>A few limitations of the review should be noted:</w:t>
      </w:r>
    </w:p>
    <w:p w:rsidR="00F12436" w:rsidRDefault="00F12436" w:rsidP="00F12436">
      <w:pPr>
        <w:pStyle w:val="ListParagraph"/>
        <w:numPr>
          <w:ilvl w:val="0"/>
          <w:numId w:val="7"/>
        </w:numPr>
        <w:rPr>
          <w:lang w:val="en-GB"/>
        </w:rPr>
      </w:pPr>
      <w:r>
        <w:rPr>
          <w:lang w:val="en-GB"/>
        </w:rPr>
        <w:t>Only about half of the emergency agencies responded to the request to provide input to the review, and thus it should not be considered as being comprehensive.</w:t>
      </w:r>
    </w:p>
    <w:p w:rsidR="00F12436" w:rsidRDefault="00F12436" w:rsidP="00F12436">
      <w:pPr>
        <w:pStyle w:val="ListParagraph"/>
        <w:numPr>
          <w:ilvl w:val="0"/>
          <w:numId w:val="7"/>
        </w:numPr>
        <w:rPr>
          <w:lang w:val="en-GB"/>
        </w:rPr>
      </w:pPr>
      <w:r>
        <w:rPr>
          <w:lang w:val="en-GB"/>
        </w:rPr>
        <w:t>At the time of the review, the Australian curriculum was being developed and therefore some instances of DRR integration may not have been identified.</w:t>
      </w:r>
    </w:p>
    <w:p w:rsidR="00EF0BFE" w:rsidRPr="00F12436" w:rsidRDefault="006004BE" w:rsidP="009F7AE5">
      <w:pPr>
        <w:pStyle w:val="ListParagraph"/>
        <w:numPr>
          <w:ilvl w:val="0"/>
          <w:numId w:val="7"/>
        </w:numPr>
        <w:rPr>
          <w:lang w:val="en-GB"/>
        </w:rPr>
      </w:pPr>
      <w:r>
        <w:rPr>
          <w:lang w:val="en-GB"/>
        </w:rPr>
        <w:t>There were few studies of DRR integration conducted in and around 2005 compared with today</w:t>
      </w:r>
      <w:r w:rsidR="006D73E9">
        <w:rPr>
          <w:lang w:val="en-GB"/>
        </w:rPr>
        <w:t>,</w:t>
      </w:r>
      <w:r>
        <w:rPr>
          <w:lang w:val="en-GB"/>
        </w:rPr>
        <w:t xml:space="preserve"> and thus comparison is relatively tenuous.</w:t>
      </w:r>
    </w:p>
    <w:p w:rsidR="00AB31E4" w:rsidRDefault="00AB31E4" w:rsidP="00AB31E4">
      <w:pPr>
        <w:pStyle w:val="Heading1"/>
        <w:rPr>
          <w:lang w:val="en-GB"/>
        </w:rPr>
      </w:pPr>
      <w:bookmarkStart w:id="6" w:name="_Toc381779050"/>
      <w:bookmarkStart w:id="7" w:name="_Toc381875951"/>
      <w:r>
        <w:rPr>
          <w:lang w:val="en-GB"/>
        </w:rPr>
        <w:t>Findings</w:t>
      </w:r>
      <w:bookmarkEnd w:id="6"/>
      <w:bookmarkEnd w:id="7"/>
    </w:p>
    <w:p w:rsidR="006004BE" w:rsidRPr="006004BE" w:rsidRDefault="00F12436" w:rsidP="006004BE">
      <w:pPr>
        <w:pStyle w:val="Heading2"/>
        <w:rPr>
          <w:lang w:val="en-GB"/>
        </w:rPr>
      </w:pPr>
      <w:bookmarkStart w:id="8" w:name="_Toc381779051"/>
      <w:bookmarkStart w:id="9" w:name="_Toc381875952"/>
      <w:r w:rsidRPr="006004BE">
        <w:rPr>
          <w:lang w:val="en-GB"/>
        </w:rPr>
        <w:t>2005</w:t>
      </w:r>
      <w:r w:rsidR="009D1DF6">
        <w:rPr>
          <w:lang w:val="en-GB"/>
        </w:rPr>
        <w:t>-2009</w:t>
      </w:r>
      <w:bookmarkEnd w:id="8"/>
      <w:bookmarkEnd w:id="9"/>
    </w:p>
    <w:p w:rsidR="006004BE" w:rsidRPr="007E7028" w:rsidRDefault="006004BE" w:rsidP="006004BE">
      <w:pPr>
        <w:rPr>
          <w:rFonts w:cs="Tahoma"/>
          <w:lang w:val="en-AU"/>
        </w:rPr>
      </w:pPr>
      <w:r w:rsidRPr="007E7028">
        <w:rPr>
          <w:rFonts w:cs="Tahoma"/>
          <w:lang w:val="en-AU"/>
        </w:rPr>
        <w:t xml:space="preserve">In Australia up until </w:t>
      </w:r>
      <w:r w:rsidR="007E7028">
        <w:rPr>
          <w:rFonts w:cs="Tahoma"/>
          <w:lang w:val="en-AU"/>
        </w:rPr>
        <w:t>2009</w:t>
      </w:r>
      <w:r w:rsidR="007E7028" w:rsidRPr="007E7028">
        <w:rPr>
          <w:rFonts w:cs="Tahoma"/>
          <w:lang w:val="en-AU"/>
        </w:rPr>
        <w:t>,</w:t>
      </w:r>
      <w:r w:rsidRPr="007E7028">
        <w:rPr>
          <w:rFonts w:cs="Tahoma"/>
          <w:lang w:val="en-AU"/>
        </w:rPr>
        <w:t xml:space="preserve"> each state and territory had its own curricula. There were </w:t>
      </w:r>
      <w:r w:rsidR="006D73E9">
        <w:rPr>
          <w:rFonts w:cs="Tahoma"/>
          <w:lang w:val="en-AU"/>
        </w:rPr>
        <w:t xml:space="preserve">some </w:t>
      </w:r>
      <w:r w:rsidRPr="007E7028">
        <w:rPr>
          <w:rFonts w:cs="Tahoma"/>
          <w:lang w:val="en-AU"/>
        </w:rPr>
        <w:t xml:space="preserve">opportunities for the development of disaster education programs and activities related to these </w:t>
      </w:r>
      <w:r w:rsidR="007E7028" w:rsidRPr="007E7028">
        <w:rPr>
          <w:rFonts w:cs="Tahoma"/>
          <w:lang w:val="en-AU"/>
        </w:rPr>
        <w:t xml:space="preserve">jurisdictional </w:t>
      </w:r>
      <w:r w:rsidRPr="007E7028">
        <w:rPr>
          <w:rFonts w:cs="Tahoma"/>
          <w:lang w:val="en-AU"/>
        </w:rPr>
        <w:t xml:space="preserve">curricula. </w:t>
      </w:r>
      <w:proofErr w:type="spellStart"/>
      <w:proofErr w:type="gramStart"/>
      <w:r w:rsidRPr="007E7028">
        <w:rPr>
          <w:rFonts w:cs="Tahoma"/>
          <w:lang w:val="en-AU"/>
        </w:rPr>
        <w:t>Kriewaldt</w:t>
      </w:r>
      <w:proofErr w:type="spellEnd"/>
      <w:r w:rsidRPr="007E7028">
        <w:rPr>
          <w:rFonts w:cs="Tahoma"/>
          <w:lang w:val="en-AU"/>
        </w:rPr>
        <w:t xml:space="preserve"> et.al.</w:t>
      </w:r>
      <w:proofErr w:type="gramEnd"/>
      <w:r w:rsidRPr="007E7028">
        <w:rPr>
          <w:rFonts w:cs="Tahoma"/>
          <w:i/>
          <w:lang w:val="en-AU"/>
        </w:rPr>
        <w:t xml:space="preserve"> </w:t>
      </w:r>
      <w:r w:rsidRPr="007E7028">
        <w:rPr>
          <w:rFonts w:cs="Tahoma"/>
          <w:lang w:val="en-AU"/>
        </w:rPr>
        <w:t>(2003) conducted a study of DRR education across state and territory curricula. They found that disaster education ‘is evident in years 5-6 and more comprehensively addressed in years 7-10. Most education systems in Australia include study of hazards in their post-compulsory geography course’.</w:t>
      </w:r>
    </w:p>
    <w:p w:rsidR="006004BE" w:rsidRDefault="009D1DF6" w:rsidP="006004BE">
      <w:pPr>
        <w:rPr>
          <w:lang w:val="en-GB"/>
        </w:rPr>
      </w:pPr>
      <w:r>
        <w:rPr>
          <w:lang w:val="en-GB"/>
        </w:rPr>
        <w:t xml:space="preserve">During </w:t>
      </w:r>
      <w:r w:rsidR="007E7028">
        <w:rPr>
          <w:lang w:val="en-GB"/>
        </w:rPr>
        <w:t>2005-2009</w:t>
      </w:r>
      <w:r>
        <w:rPr>
          <w:lang w:val="en-GB"/>
        </w:rPr>
        <w:t>, several state and territory emergency agencies carried out curriculum mapping to identify opportunities for integration of DRR into jurisdictional curricula, and then developed teaching units and student resources related to these</w:t>
      </w:r>
      <w:r w:rsidR="006D73E9">
        <w:rPr>
          <w:lang w:val="en-GB"/>
        </w:rPr>
        <w:t xml:space="preserve"> curriculum links (Dufty, 2008; Dufty, 2009</w:t>
      </w:r>
      <w:r>
        <w:rPr>
          <w:lang w:val="en-GB"/>
        </w:rPr>
        <w:t xml:space="preserve">). However, </w:t>
      </w:r>
      <w:r w:rsidR="00C70B36">
        <w:rPr>
          <w:lang w:val="en-GB"/>
        </w:rPr>
        <w:t>numerous</w:t>
      </w:r>
      <w:r>
        <w:rPr>
          <w:lang w:val="en-GB"/>
        </w:rPr>
        <w:t xml:space="preserve"> DRR education resources were not linked to curricula and thus risked not being using in teaching programs as they were seen </w:t>
      </w:r>
      <w:r w:rsidR="006D73E9">
        <w:rPr>
          <w:lang w:val="en-GB"/>
        </w:rPr>
        <w:t xml:space="preserve">by schools </w:t>
      </w:r>
      <w:r>
        <w:rPr>
          <w:lang w:val="en-GB"/>
        </w:rPr>
        <w:t>to be ‘extra-curricula</w:t>
      </w:r>
      <w:r w:rsidR="00C70B36">
        <w:rPr>
          <w:lang w:val="en-GB"/>
        </w:rPr>
        <w:t>r</w:t>
      </w:r>
      <w:r>
        <w:rPr>
          <w:lang w:val="en-GB"/>
        </w:rPr>
        <w:t xml:space="preserve">’ or non-formal education (Dufty, 2009). </w:t>
      </w:r>
    </w:p>
    <w:p w:rsidR="009D1DF6" w:rsidRDefault="009D1DF6" w:rsidP="009D1DF6">
      <w:pPr>
        <w:rPr>
          <w:lang w:val="en-AU"/>
        </w:rPr>
      </w:pPr>
      <w:r>
        <w:rPr>
          <w:lang w:val="en-GB"/>
        </w:rPr>
        <w:t>A trigger for emergency agencies to develop DRR school education</w:t>
      </w:r>
      <w:r w:rsidR="006D73E9">
        <w:rPr>
          <w:lang w:val="en-GB"/>
        </w:rPr>
        <w:t xml:space="preserve"> materials</w:t>
      </w:r>
      <w:r>
        <w:rPr>
          <w:lang w:val="en-GB"/>
        </w:rPr>
        <w:t xml:space="preserve"> was the recommendations of major inquiries and reviews. </w:t>
      </w:r>
      <w:r>
        <w:rPr>
          <w:lang w:val="en-AU"/>
        </w:rPr>
        <w:t>For example, the National Inquiry on Bushfire Mitigation and Management (</w:t>
      </w:r>
      <w:r>
        <w:t xml:space="preserve">Ellis, </w:t>
      </w:r>
      <w:proofErr w:type="spellStart"/>
      <w:r>
        <w:t>Kanowski</w:t>
      </w:r>
      <w:proofErr w:type="spellEnd"/>
      <w:r>
        <w:t xml:space="preserve"> &amp; Whelan, </w:t>
      </w:r>
      <w:r>
        <w:rPr>
          <w:lang w:val="en-AU"/>
        </w:rPr>
        <w:t xml:space="preserve">2004, p.37) states that, </w:t>
      </w:r>
      <w:r>
        <w:rPr>
          <w:lang w:val="en-AU"/>
        </w:rPr>
        <w:lastRenderedPageBreak/>
        <w:t xml:space="preserve">‘knowledge of “living with bushfire” should be one of the life skills all Australian children acquire during their schooling, wherever they are educated’. The Inquiry recommended that: </w:t>
      </w:r>
    </w:p>
    <w:p w:rsidR="009D1DF6" w:rsidRDefault="009D1DF6" w:rsidP="009D1DF6">
      <w:pPr>
        <w:ind w:left="708"/>
        <w:rPr>
          <w:i/>
          <w:sz w:val="20"/>
          <w:szCs w:val="20"/>
          <w:lang w:val="en-AU"/>
        </w:rPr>
      </w:pPr>
      <w:r w:rsidRPr="009D1DF6">
        <w:rPr>
          <w:i/>
          <w:sz w:val="20"/>
          <w:szCs w:val="20"/>
          <w:lang w:val="en-AU"/>
        </w:rPr>
        <w:t>‘</w:t>
      </w:r>
      <w:r w:rsidR="00392A41">
        <w:rPr>
          <w:i/>
          <w:sz w:val="20"/>
          <w:szCs w:val="20"/>
          <w:lang w:val="en-AU"/>
        </w:rPr>
        <w:t>S</w:t>
      </w:r>
      <w:r w:rsidRPr="009D1DF6">
        <w:rPr>
          <w:i/>
          <w:sz w:val="20"/>
          <w:szCs w:val="20"/>
          <w:lang w:val="en-AU"/>
        </w:rPr>
        <w:t>tate and territory governments and the Australian Government jointly develop and implement nationally and regionally relevant education programs about bushfire, to be delivered to all Australian children as a basic life skill. These programs should emphasise individual and household preparedness and survival as well as the role of fi</w:t>
      </w:r>
      <w:r w:rsidR="00392A41">
        <w:rPr>
          <w:i/>
          <w:sz w:val="20"/>
          <w:szCs w:val="20"/>
          <w:lang w:val="en-AU"/>
        </w:rPr>
        <w:t>re in the Australian landscape</w:t>
      </w:r>
      <w:r w:rsidRPr="009D1DF6">
        <w:rPr>
          <w:i/>
          <w:sz w:val="20"/>
          <w:szCs w:val="20"/>
          <w:lang w:val="en-AU"/>
        </w:rPr>
        <w:t>.</w:t>
      </w:r>
      <w:r w:rsidR="00392A41">
        <w:rPr>
          <w:i/>
          <w:sz w:val="20"/>
          <w:szCs w:val="20"/>
          <w:lang w:val="en-AU"/>
        </w:rPr>
        <w:t>’</w:t>
      </w:r>
      <w:r>
        <w:rPr>
          <w:i/>
          <w:sz w:val="20"/>
          <w:szCs w:val="20"/>
          <w:lang w:val="en-AU"/>
        </w:rPr>
        <w:t xml:space="preserve"> </w:t>
      </w:r>
      <w:r w:rsidR="00392A41">
        <w:rPr>
          <w:i/>
          <w:sz w:val="20"/>
          <w:szCs w:val="20"/>
          <w:lang w:val="en-AU"/>
        </w:rPr>
        <w:t>(</w:t>
      </w:r>
      <w:r w:rsidR="00392A41" w:rsidRPr="00392A41">
        <w:rPr>
          <w:i/>
          <w:sz w:val="20"/>
          <w:szCs w:val="20"/>
          <w:lang w:val="en-AU"/>
        </w:rPr>
        <w:t xml:space="preserve">Ellis, </w:t>
      </w:r>
      <w:proofErr w:type="spellStart"/>
      <w:r w:rsidR="00392A41" w:rsidRPr="00392A41">
        <w:rPr>
          <w:i/>
          <w:sz w:val="20"/>
          <w:szCs w:val="20"/>
          <w:lang w:val="en-AU"/>
        </w:rPr>
        <w:t>Kanowski</w:t>
      </w:r>
      <w:proofErr w:type="spellEnd"/>
      <w:r w:rsidR="00392A41" w:rsidRPr="00392A41">
        <w:rPr>
          <w:i/>
          <w:sz w:val="20"/>
          <w:szCs w:val="20"/>
          <w:lang w:val="en-AU"/>
        </w:rPr>
        <w:t xml:space="preserve"> &amp; Whelan, 2004</w:t>
      </w:r>
      <w:r w:rsidR="00392A41">
        <w:rPr>
          <w:i/>
          <w:sz w:val="20"/>
          <w:szCs w:val="20"/>
          <w:lang w:val="en-AU"/>
        </w:rPr>
        <w:t>)</w:t>
      </w:r>
    </w:p>
    <w:p w:rsidR="00392A41" w:rsidRDefault="00392A41" w:rsidP="00392A41">
      <w:pPr>
        <w:rPr>
          <w:lang w:val="en-GB"/>
        </w:rPr>
      </w:pPr>
      <w:r>
        <w:rPr>
          <w:lang w:val="en-GB"/>
        </w:rPr>
        <w:t xml:space="preserve">However, as with broader community DRR education, it </w:t>
      </w:r>
      <w:r w:rsidR="006D73E9">
        <w:rPr>
          <w:lang w:val="en-GB"/>
        </w:rPr>
        <w:t>appears that in and around 2005</w:t>
      </w:r>
      <w:r>
        <w:rPr>
          <w:lang w:val="en-GB"/>
        </w:rPr>
        <w:t xml:space="preserve"> DRR school education languished as </w:t>
      </w:r>
      <w:r w:rsidR="00771E2F">
        <w:rPr>
          <w:lang w:val="en-GB"/>
        </w:rPr>
        <w:t xml:space="preserve">a </w:t>
      </w:r>
      <w:r>
        <w:rPr>
          <w:lang w:val="en-GB"/>
        </w:rPr>
        <w:t xml:space="preserve">low priority for Australian emergency agencies and other emergency services organisations. </w:t>
      </w:r>
      <w:r w:rsidR="00C70B36">
        <w:rPr>
          <w:lang w:val="en-GB"/>
        </w:rPr>
        <w:t>In 2004, a</w:t>
      </w:r>
      <w:r>
        <w:rPr>
          <w:lang w:val="en-GB"/>
        </w:rPr>
        <w:t>ccording to the Australian Government:</w:t>
      </w:r>
    </w:p>
    <w:p w:rsidR="00392A41" w:rsidRDefault="00392A41" w:rsidP="00392A41">
      <w:pPr>
        <w:ind w:left="708"/>
        <w:rPr>
          <w:i/>
          <w:sz w:val="20"/>
          <w:szCs w:val="20"/>
          <w:lang w:val="en-AU"/>
        </w:rPr>
      </w:pPr>
      <w:r w:rsidRPr="00C70B36">
        <w:rPr>
          <w:i/>
          <w:sz w:val="20"/>
          <w:szCs w:val="20"/>
          <w:lang w:val="en-AU"/>
        </w:rPr>
        <w:t>‘</w:t>
      </w:r>
      <w:r w:rsidR="00C70B36">
        <w:rPr>
          <w:i/>
          <w:sz w:val="20"/>
          <w:szCs w:val="20"/>
          <w:lang w:val="en-AU"/>
        </w:rPr>
        <w:t>’Public awareness of natural hazard issues is arguably the least practised and most poorly funded mitigation measure in Australia</w:t>
      </w:r>
      <w:r w:rsidRPr="00C70B36">
        <w:rPr>
          <w:i/>
          <w:sz w:val="20"/>
          <w:szCs w:val="20"/>
          <w:lang w:val="en-AU"/>
        </w:rPr>
        <w:t>.</w:t>
      </w:r>
      <w:r w:rsidR="00C70B36">
        <w:rPr>
          <w:i/>
          <w:sz w:val="20"/>
          <w:szCs w:val="20"/>
          <w:lang w:val="en-AU"/>
        </w:rPr>
        <w:t xml:space="preserve"> With very few exceptions, it is undertaken as a limited auxiliary activity to other disaster management initiatives, rather than as a sustained strategic measure to raise public consciousness and understanding of hazard risks, impacts and minimisation.’ (Department of Transport and Regional Services, 2004, pp. 124-125)</w:t>
      </w:r>
    </w:p>
    <w:p w:rsidR="00C70B36" w:rsidRDefault="00C70B36" w:rsidP="00C70B36">
      <w:pPr>
        <w:rPr>
          <w:lang w:val="en-AU"/>
        </w:rPr>
      </w:pPr>
      <w:r>
        <w:rPr>
          <w:lang w:val="en-AU"/>
        </w:rPr>
        <w:t xml:space="preserve">In 2009, COAG commissioned a research team from RMIT University to review current community hazard education, awareness and engagement (EAE) programs in order to understand how they might be improved and more effectively tailored to State, Territory and local circumstances. </w:t>
      </w:r>
    </w:p>
    <w:p w:rsidR="00C70B36" w:rsidRDefault="00C70B36" w:rsidP="00C70B36">
      <w:pPr>
        <w:rPr>
          <w:lang w:val="en-AU"/>
        </w:rPr>
      </w:pPr>
      <w:r>
        <w:rPr>
          <w:lang w:val="en-AU"/>
        </w:rPr>
        <w:t>The RMIT report (Elsworth et. al., 2009) reviewed close to 300 separate programs (including school DRR education programs) and 14 evaluations of these programs. The report found that the programs generally led to ‘positive changes in awareness and knowledge of the potential threat of natural hazards along with physical preparedness’. On the other hand, the report advocated that:</w:t>
      </w:r>
    </w:p>
    <w:p w:rsidR="00392A41" w:rsidRPr="00C70B36" w:rsidRDefault="00C70B36" w:rsidP="00C70B36">
      <w:pPr>
        <w:ind w:left="708"/>
        <w:rPr>
          <w:i/>
          <w:sz w:val="20"/>
          <w:szCs w:val="20"/>
          <w:lang w:val="en-AU"/>
        </w:rPr>
      </w:pPr>
      <w:r w:rsidRPr="00C70B36">
        <w:rPr>
          <w:i/>
          <w:sz w:val="20"/>
          <w:szCs w:val="20"/>
          <w:lang w:val="en-AU"/>
        </w:rPr>
        <w:t>‘the development and implementation of EAE programs and other activities for natural hazards should be more systematically planned and evaluated, and based more directly on available evidence and theory.’ (Elsworth et. al., 2009, p.</w:t>
      </w:r>
      <w:r>
        <w:rPr>
          <w:i/>
          <w:sz w:val="20"/>
          <w:szCs w:val="20"/>
          <w:lang w:val="en-AU"/>
        </w:rPr>
        <w:t xml:space="preserve"> </w:t>
      </w:r>
      <w:proofErr w:type="gramStart"/>
      <w:r w:rsidRPr="00C70B36">
        <w:rPr>
          <w:i/>
          <w:sz w:val="20"/>
          <w:szCs w:val="20"/>
          <w:lang w:val="en-AU"/>
        </w:rPr>
        <w:t>iv</w:t>
      </w:r>
      <w:proofErr w:type="gramEnd"/>
      <w:r w:rsidRPr="00C70B36">
        <w:rPr>
          <w:i/>
          <w:sz w:val="20"/>
          <w:szCs w:val="20"/>
          <w:lang w:val="en-AU"/>
        </w:rPr>
        <w:t>)</w:t>
      </w:r>
    </w:p>
    <w:p w:rsidR="009D1DF6" w:rsidRPr="009D1DF6" w:rsidRDefault="009D1DF6" w:rsidP="009D1DF6">
      <w:pPr>
        <w:pStyle w:val="Heading2"/>
        <w:rPr>
          <w:lang w:val="en-GB"/>
        </w:rPr>
      </w:pPr>
      <w:bookmarkStart w:id="10" w:name="_Toc381779052"/>
      <w:bookmarkStart w:id="11" w:name="_Toc381875953"/>
      <w:r>
        <w:rPr>
          <w:lang w:val="en-GB"/>
        </w:rPr>
        <w:t>2009-present</w:t>
      </w:r>
      <w:bookmarkEnd w:id="10"/>
      <w:bookmarkEnd w:id="11"/>
    </w:p>
    <w:p w:rsidR="007C5792" w:rsidRDefault="00C70B36" w:rsidP="007C5792">
      <w:pPr>
        <w:rPr>
          <w:lang w:val="en-AU"/>
        </w:rPr>
      </w:pPr>
      <w:r>
        <w:rPr>
          <w:lang w:val="en-GB"/>
        </w:rPr>
        <w:t xml:space="preserve">Since 2009, there appears to have been a significant upsurge in the development of school DRR education programs and activities. Evidence for this trend comes </w:t>
      </w:r>
      <w:r w:rsidR="007C5792">
        <w:rPr>
          <w:lang w:val="en-GB"/>
        </w:rPr>
        <w:t xml:space="preserve">from several sources including the curriculum mapping report </w:t>
      </w:r>
      <w:r w:rsidR="007C5792">
        <w:rPr>
          <w:lang w:val="en-AU"/>
        </w:rPr>
        <w:t>(</w:t>
      </w:r>
      <w:r w:rsidR="007C5792" w:rsidRPr="007C5792">
        <w:t>dk2</w:t>
      </w:r>
      <w:r w:rsidR="007C5792">
        <w:t xml:space="preserve"> </w:t>
      </w:r>
      <w:proofErr w:type="spellStart"/>
      <w:r w:rsidR="007C5792">
        <w:t>Pty</w:t>
      </w:r>
      <w:proofErr w:type="spellEnd"/>
      <w:r w:rsidR="007C5792">
        <w:t xml:space="preserve"> Ltd, 2013)</w:t>
      </w:r>
      <w:r w:rsidR="007C5792">
        <w:rPr>
          <w:lang w:val="en-GB"/>
        </w:rPr>
        <w:t xml:space="preserve"> for the </w:t>
      </w:r>
      <w:r w:rsidR="00291CC1" w:rsidRPr="007C5792">
        <w:rPr>
          <w:i/>
          <w:lang w:val="en-AU"/>
        </w:rPr>
        <w:t>Nation</w:t>
      </w:r>
      <w:r w:rsidR="007C5792">
        <w:rPr>
          <w:i/>
          <w:lang w:val="en-AU"/>
        </w:rPr>
        <w:t xml:space="preserve">al Emergency Management Project - Educating the Educators. </w:t>
      </w:r>
      <w:r w:rsidR="00291CC1" w:rsidRPr="00291CC1">
        <w:rPr>
          <w:lang w:val="en-AU"/>
        </w:rPr>
        <w:t xml:space="preserve">This </w:t>
      </w:r>
      <w:r w:rsidR="007C5792">
        <w:rPr>
          <w:lang w:val="en-AU"/>
        </w:rPr>
        <w:t xml:space="preserve">curriculum mapping </w:t>
      </w:r>
      <w:r w:rsidR="00291CC1" w:rsidRPr="00291CC1">
        <w:rPr>
          <w:lang w:val="en-AU"/>
        </w:rPr>
        <w:t xml:space="preserve">project involved reviewing a sample of 47 existing Australian primary and secondary </w:t>
      </w:r>
      <w:r w:rsidR="007C5792">
        <w:rPr>
          <w:lang w:val="en-AU"/>
        </w:rPr>
        <w:t xml:space="preserve">DRR education </w:t>
      </w:r>
      <w:r w:rsidR="00291CC1" w:rsidRPr="00291CC1">
        <w:rPr>
          <w:lang w:val="en-AU"/>
        </w:rPr>
        <w:t xml:space="preserve">school resources gathered from a range of emergency services agencies from across Australia. </w:t>
      </w:r>
      <w:r w:rsidR="007C5792">
        <w:rPr>
          <w:lang w:val="en-AU"/>
        </w:rPr>
        <w:t xml:space="preserve">The sample showed a broad range of </w:t>
      </w:r>
      <w:r w:rsidR="006D73E9">
        <w:rPr>
          <w:lang w:val="en-AU"/>
        </w:rPr>
        <w:t xml:space="preserve">Australian </w:t>
      </w:r>
      <w:r w:rsidR="007C5792">
        <w:rPr>
          <w:lang w:val="en-AU"/>
        </w:rPr>
        <w:t>DRR education resources</w:t>
      </w:r>
      <w:r w:rsidR="006D73E9">
        <w:rPr>
          <w:lang w:val="en-AU"/>
        </w:rPr>
        <w:t xml:space="preserve"> available</w:t>
      </w:r>
      <w:r w:rsidR="007C5792">
        <w:rPr>
          <w:lang w:val="en-AU"/>
        </w:rPr>
        <w:t xml:space="preserve"> for students from Kindergarten (Foundation) to Year 12.</w:t>
      </w:r>
    </w:p>
    <w:p w:rsidR="007C5792" w:rsidRDefault="007C5792" w:rsidP="007C5792">
      <w:pPr>
        <w:rPr>
          <w:lang w:val="en-AU"/>
        </w:rPr>
      </w:pPr>
      <w:r>
        <w:rPr>
          <w:lang w:val="en-AU"/>
        </w:rPr>
        <w:t xml:space="preserve">Several emergency agency agencies have also used curriculum mapping to identify opportunities for developing appropriate DRR education programs and activities. For </w:t>
      </w:r>
      <w:r>
        <w:rPr>
          <w:lang w:val="en-AU"/>
        </w:rPr>
        <w:lastRenderedPageBreak/>
        <w:t>example, the Western Australia Department of Fire and Emergency Services (DFES) has conducted curriculum mapping to identify opportunities for bushfire programs and activities.</w:t>
      </w:r>
    </w:p>
    <w:p w:rsidR="007C5792" w:rsidRPr="007C5792" w:rsidRDefault="007C5792" w:rsidP="007C5792">
      <w:pPr>
        <w:rPr>
          <w:lang w:val="en-AU"/>
        </w:rPr>
      </w:pPr>
      <w:r>
        <w:rPr>
          <w:lang w:val="en-AU"/>
        </w:rPr>
        <w:t>It should be noted that i</w:t>
      </w:r>
      <w:r w:rsidRPr="007C5792">
        <w:rPr>
          <w:lang w:val="en-AU"/>
        </w:rPr>
        <w:t>n December 2008, the development of the Australian Curriculum guided by the Melbourne Declaration on Educational Goals for Young Australians was adopted by the Ministerial Council. Since then, the development of the Australian Curriculum has been overseen by the Australian Curriculum, Assessment and Reporting Authority (ACARA). It is hoped that Australian schools will be implementing all learning areas (Foundation to Year 12) in the Australian Curriculum by 2016.</w:t>
      </w:r>
      <w:r w:rsidRPr="00137F96">
        <w:rPr>
          <w:rFonts w:ascii="Arial" w:hAnsi="Arial" w:cs="Arial"/>
          <w:lang w:val="en-AU"/>
        </w:rPr>
        <w:t xml:space="preserve"> </w:t>
      </w:r>
    </w:p>
    <w:p w:rsidR="00291CC1" w:rsidRDefault="007C5792" w:rsidP="007C5792">
      <w:pPr>
        <w:rPr>
          <w:lang w:val="en-AU"/>
        </w:rPr>
      </w:pPr>
      <w:r w:rsidRPr="007C5792">
        <w:rPr>
          <w:lang w:val="en-AU"/>
        </w:rPr>
        <w:t xml:space="preserve">Curriculum mapping </w:t>
      </w:r>
      <w:r w:rsidR="007412B9">
        <w:rPr>
          <w:lang w:val="en-AU"/>
        </w:rPr>
        <w:t xml:space="preserve">of DRR in the Australian Curriculum was </w:t>
      </w:r>
      <w:r w:rsidRPr="007C5792">
        <w:rPr>
          <w:lang w:val="en-AU"/>
        </w:rPr>
        <w:t>conducted for this review and in Dufty (2014)</w:t>
      </w:r>
      <w:r w:rsidR="007412B9">
        <w:rPr>
          <w:lang w:val="en-AU"/>
        </w:rPr>
        <w:t>. The results</w:t>
      </w:r>
      <w:r>
        <w:rPr>
          <w:lang w:val="en-AU"/>
        </w:rPr>
        <w:t xml:space="preserve"> </w:t>
      </w:r>
      <w:r w:rsidR="007412B9">
        <w:rPr>
          <w:lang w:val="en-AU"/>
        </w:rPr>
        <w:t>are</w:t>
      </w:r>
      <w:r>
        <w:rPr>
          <w:lang w:val="en-AU"/>
        </w:rPr>
        <w:t xml:space="preserve"> summarised in Table 1. This curriculum mapping identifies opportunities for the development of school DRR education programs and </w:t>
      </w:r>
      <w:r w:rsidR="002B633A">
        <w:rPr>
          <w:lang w:val="en-AU"/>
        </w:rPr>
        <w:t xml:space="preserve">materials </w:t>
      </w:r>
      <w:bookmarkStart w:id="12" w:name="_GoBack"/>
      <w:bookmarkEnd w:id="12"/>
      <w:r>
        <w:rPr>
          <w:lang w:val="en-AU"/>
        </w:rPr>
        <w:t xml:space="preserve">in the Australian curriculum </w:t>
      </w:r>
      <w:r w:rsidRPr="007C5792">
        <w:rPr>
          <w:lang w:val="en-AU"/>
        </w:rPr>
        <w:t>(Foundation to Year 12)</w:t>
      </w:r>
      <w:r>
        <w:rPr>
          <w:lang w:val="en-AU"/>
        </w:rPr>
        <w:t>.</w:t>
      </w:r>
    </w:p>
    <w:p w:rsidR="00210576" w:rsidRPr="00392372" w:rsidRDefault="007C5792" w:rsidP="00392372">
      <w:pPr>
        <w:rPr>
          <w:lang w:val="en-AU"/>
        </w:rPr>
      </w:pPr>
      <w:r w:rsidRPr="00137F96">
        <w:rPr>
          <w:lang w:val="en-AU"/>
        </w:rPr>
        <w:t>At the time of writing (</w:t>
      </w:r>
      <w:r>
        <w:rPr>
          <w:lang w:val="en-AU"/>
        </w:rPr>
        <w:t>February 2014</w:t>
      </w:r>
      <w:r w:rsidRPr="00137F96">
        <w:rPr>
          <w:lang w:val="en-AU"/>
        </w:rPr>
        <w:t>), the following F-10 curriculums were finalised for implementation</w:t>
      </w:r>
      <w:r>
        <w:rPr>
          <w:lang w:val="en-AU"/>
        </w:rPr>
        <w:t xml:space="preserve"> in Australian schools: </w:t>
      </w:r>
      <w:r w:rsidRPr="00137F96">
        <w:rPr>
          <w:lang w:val="en-AU"/>
        </w:rPr>
        <w:t>English</w:t>
      </w:r>
      <w:r>
        <w:rPr>
          <w:lang w:val="en-AU"/>
        </w:rPr>
        <w:t xml:space="preserve">, Mathematics, Science, History and </w:t>
      </w:r>
      <w:r w:rsidRPr="00137F96">
        <w:rPr>
          <w:lang w:val="en-AU"/>
        </w:rPr>
        <w:t>Geography</w:t>
      </w:r>
      <w:r>
        <w:rPr>
          <w:lang w:val="en-AU"/>
        </w:rPr>
        <w:t xml:space="preserve">. In relation to </w:t>
      </w:r>
      <w:r w:rsidRPr="00137F96">
        <w:rPr>
          <w:lang w:val="en-AU"/>
        </w:rPr>
        <w:t>Senior Secondary (Years 11 and 12) implementation</w:t>
      </w:r>
      <w:r>
        <w:rPr>
          <w:lang w:val="en-AU"/>
        </w:rPr>
        <w:t>, 15</w:t>
      </w:r>
      <w:r w:rsidRPr="00137F96">
        <w:rPr>
          <w:lang w:val="en-AU"/>
        </w:rPr>
        <w:t xml:space="preserve"> curriculums had been finalised</w:t>
      </w:r>
      <w:r w:rsidR="00392372">
        <w:rPr>
          <w:lang w:val="en-AU"/>
        </w:rPr>
        <w:t>.</w:t>
      </w:r>
    </w:p>
    <w:tbl>
      <w:tblPr>
        <w:tblW w:w="96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590"/>
        <w:gridCol w:w="2580"/>
        <w:gridCol w:w="1979"/>
        <w:gridCol w:w="2406"/>
      </w:tblGrid>
      <w:tr w:rsidR="007C5792" w:rsidRPr="00E11036" w:rsidTr="00FD25DA">
        <w:trPr>
          <w:trHeight w:val="300"/>
        </w:trPr>
        <w:tc>
          <w:tcPr>
            <w:tcW w:w="1109" w:type="dxa"/>
            <w:shd w:val="clear" w:color="auto" w:fill="auto"/>
            <w:noWrap/>
            <w:vAlign w:val="bottom"/>
            <w:hideMark/>
          </w:tcPr>
          <w:p w:rsidR="007C5792" w:rsidRPr="007C5792" w:rsidRDefault="007C5792" w:rsidP="00FD25DA">
            <w:pPr>
              <w:jc w:val="center"/>
              <w:rPr>
                <w:rFonts w:ascii="Arial" w:hAnsi="Arial" w:cs="Arial"/>
                <w:b/>
                <w:bCs/>
                <w:color w:val="000000"/>
                <w:lang w:val="en-AU" w:eastAsia="en-AU"/>
              </w:rPr>
            </w:pPr>
            <w:r w:rsidRPr="007C5792">
              <w:rPr>
                <w:rFonts w:ascii="Arial" w:hAnsi="Arial" w:cs="Arial"/>
                <w:b/>
                <w:bCs/>
                <w:color w:val="000000"/>
                <w:lang w:val="en-AU" w:eastAsia="en-AU"/>
              </w:rPr>
              <w:t>Years</w:t>
            </w:r>
          </w:p>
        </w:tc>
        <w:tc>
          <w:tcPr>
            <w:tcW w:w="1590" w:type="dxa"/>
            <w:shd w:val="clear" w:color="auto" w:fill="auto"/>
            <w:noWrap/>
            <w:vAlign w:val="bottom"/>
            <w:hideMark/>
          </w:tcPr>
          <w:p w:rsidR="007C5792" w:rsidRPr="007C5792" w:rsidRDefault="007C5792" w:rsidP="00FD25DA">
            <w:pPr>
              <w:jc w:val="center"/>
              <w:rPr>
                <w:rFonts w:ascii="Arial" w:hAnsi="Arial" w:cs="Arial"/>
                <w:b/>
                <w:bCs/>
                <w:color w:val="000000"/>
                <w:lang w:val="en-AU" w:eastAsia="en-AU"/>
              </w:rPr>
            </w:pPr>
            <w:r w:rsidRPr="007C5792">
              <w:rPr>
                <w:rFonts w:ascii="Arial" w:hAnsi="Arial" w:cs="Arial"/>
                <w:b/>
                <w:bCs/>
                <w:color w:val="000000"/>
                <w:lang w:val="en-AU" w:eastAsia="en-AU"/>
              </w:rPr>
              <w:t>Science</w:t>
            </w:r>
          </w:p>
        </w:tc>
        <w:tc>
          <w:tcPr>
            <w:tcW w:w="2580" w:type="dxa"/>
            <w:shd w:val="clear" w:color="auto" w:fill="auto"/>
            <w:noWrap/>
            <w:vAlign w:val="bottom"/>
            <w:hideMark/>
          </w:tcPr>
          <w:p w:rsidR="007C5792" w:rsidRPr="007C5792" w:rsidRDefault="007C5792" w:rsidP="00FD25DA">
            <w:pPr>
              <w:jc w:val="center"/>
              <w:rPr>
                <w:rFonts w:ascii="Arial" w:hAnsi="Arial" w:cs="Arial"/>
                <w:b/>
                <w:bCs/>
                <w:color w:val="000000"/>
                <w:lang w:val="en-AU" w:eastAsia="en-AU"/>
              </w:rPr>
            </w:pPr>
            <w:r w:rsidRPr="007C5792">
              <w:rPr>
                <w:rFonts w:ascii="Arial" w:hAnsi="Arial" w:cs="Arial"/>
                <w:b/>
                <w:bCs/>
                <w:color w:val="000000"/>
                <w:lang w:val="en-AU" w:eastAsia="en-AU"/>
              </w:rPr>
              <w:t>Geography</w:t>
            </w:r>
          </w:p>
        </w:tc>
        <w:tc>
          <w:tcPr>
            <w:tcW w:w="1979" w:type="dxa"/>
            <w:shd w:val="clear" w:color="auto" w:fill="auto"/>
            <w:noWrap/>
            <w:vAlign w:val="bottom"/>
            <w:hideMark/>
          </w:tcPr>
          <w:p w:rsidR="007C5792" w:rsidRPr="007C5792" w:rsidRDefault="007C5792" w:rsidP="00FD25DA">
            <w:pPr>
              <w:jc w:val="center"/>
              <w:rPr>
                <w:rFonts w:ascii="Arial" w:hAnsi="Arial" w:cs="Arial"/>
                <w:b/>
                <w:bCs/>
                <w:color w:val="000000"/>
                <w:lang w:val="en-AU" w:eastAsia="en-AU"/>
              </w:rPr>
            </w:pPr>
            <w:r w:rsidRPr="007C5792">
              <w:rPr>
                <w:rFonts w:ascii="Arial" w:hAnsi="Arial" w:cs="Arial"/>
                <w:b/>
                <w:bCs/>
                <w:color w:val="000000"/>
                <w:lang w:val="en-AU" w:eastAsia="en-AU"/>
              </w:rPr>
              <w:t>History</w:t>
            </w:r>
          </w:p>
        </w:tc>
        <w:tc>
          <w:tcPr>
            <w:tcW w:w="2406" w:type="dxa"/>
            <w:shd w:val="clear" w:color="auto" w:fill="auto"/>
            <w:vAlign w:val="bottom"/>
            <w:hideMark/>
          </w:tcPr>
          <w:p w:rsidR="007C5792" w:rsidRPr="007C5792" w:rsidRDefault="007C5792" w:rsidP="00FD25DA">
            <w:pPr>
              <w:rPr>
                <w:rFonts w:ascii="Arial" w:hAnsi="Arial" w:cs="Arial"/>
                <w:b/>
                <w:bCs/>
                <w:color w:val="000000"/>
                <w:lang w:val="en-AU" w:eastAsia="en-AU"/>
              </w:rPr>
            </w:pPr>
            <w:r w:rsidRPr="007C5792">
              <w:rPr>
                <w:rFonts w:ascii="Arial" w:hAnsi="Arial" w:cs="Arial"/>
                <w:b/>
                <w:bCs/>
                <w:color w:val="000000"/>
                <w:lang w:val="en-AU" w:eastAsia="en-AU"/>
              </w:rPr>
              <w:t xml:space="preserve"> Draft Health and PE</w:t>
            </w:r>
          </w:p>
        </w:tc>
      </w:tr>
      <w:tr w:rsidR="007C5792" w:rsidRPr="00E11036" w:rsidTr="00FD25DA">
        <w:trPr>
          <w:trHeight w:val="300"/>
        </w:trPr>
        <w:tc>
          <w:tcPr>
            <w:tcW w:w="1109"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F</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58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1.4</w:t>
            </w:r>
          </w:p>
        </w:tc>
      </w:tr>
      <w:tr w:rsidR="007C5792" w:rsidRPr="00E11036" w:rsidTr="00FD25DA">
        <w:trPr>
          <w:trHeight w:val="300"/>
        </w:trPr>
        <w:tc>
          <w:tcPr>
            <w:tcW w:w="1109"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1</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58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2.4, 2.5, 2.7</w:t>
            </w:r>
          </w:p>
        </w:tc>
      </w:tr>
      <w:tr w:rsidR="007C5792" w:rsidRPr="00E11036" w:rsidTr="00FD25DA">
        <w:trPr>
          <w:trHeight w:val="300"/>
        </w:trPr>
        <w:tc>
          <w:tcPr>
            <w:tcW w:w="1109"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2</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580"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ELBH506</w:t>
            </w: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2.4, 2.5, 2.7</w:t>
            </w:r>
          </w:p>
        </w:tc>
      </w:tr>
      <w:tr w:rsidR="007C5792" w:rsidRPr="00E11036" w:rsidTr="00FD25DA">
        <w:trPr>
          <w:trHeight w:val="300"/>
        </w:trPr>
        <w:tc>
          <w:tcPr>
            <w:tcW w:w="1109"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3</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58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3.4, 3.7</w:t>
            </w:r>
          </w:p>
        </w:tc>
      </w:tr>
      <w:tr w:rsidR="007C5792" w:rsidRPr="00E11036" w:rsidTr="00FD25DA">
        <w:trPr>
          <w:trHeight w:val="300"/>
        </w:trPr>
        <w:tc>
          <w:tcPr>
            <w:tcW w:w="1109"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4</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ELBS823</w:t>
            </w:r>
          </w:p>
        </w:tc>
        <w:tc>
          <w:tcPr>
            <w:tcW w:w="258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3.4, 3.7</w:t>
            </w:r>
          </w:p>
        </w:tc>
      </w:tr>
      <w:tr w:rsidR="007C5792" w:rsidRPr="00E11036" w:rsidTr="00FD25DA">
        <w:trPr>
          <w:trHeight w:val="919"/>
        </w:trPr>
        <w:tc>
          <w:tcPr>
            <w:tcW w:w="1109"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5</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58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ACHGK030 ELBH461 ELBH551 ELBH580 ELBH609 ELBH739</w:t>
            </w:r>
          </w:p>
        </w:tc>
        <w:tc>
          <w:tcPr>
            <w:tcW w:w="1979" w:type="dxa"/>
            <w:shd w:val="clear" w:color="auto" w:fill="auto"/>
            <w:noWrap/>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4.4, 4.9</w:t>
            </w:r>
          </w:p>
        </w:tc>
      </w:tr>
      <w:tr w:rsidR="007C5792" w:rsidRPr="00E11036" w:rsidTr="00FD25DA">
        <w:trPr>
          <w:trHeight w:val="1683"/>
        </w:trPr>
        <w:tc>
          <w:tcPr>
            <w:tcW w:w="1109"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6</w:t>
            </w:r>
          </w:p>
        </w:tc>
        <w:tc>
          <w:tcPr>
            <w:tcW w:w="159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ACSSU096 ELBS906 ELBS907 ELBS909 ELBS910 ELBS922 ELBS924 ELBS925 ELBS931 ELBS925</w:t>
            </w:r>
          </w:p>
        </w:tc>
        <w:tc>
          <w:tcPr>
            <w:tcW w:w="2580"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ELBH656</w:t>
            </w: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4.4, 4.9</w:t>
            </w:r>
          </w:p>
        </w:tc>
      </w:tr>
      <w:tr w:rsidR="007C5792" w:rsidRPr="00E11036" w:rsidTr="00FD25DA">
        <w:trPr>
          <w:trHeight w:val="1990"/>
        </w:trPr>
        <w:tc>
          <w:tcPr>
            <w:tcW w:w="1109"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lastRenderedPageBreak/>
              <w:t>7</w:t>
            </w:r>
          </w:p>
        </w:tc>
        <w:tc>
          <w:tcPr>
            <w:tcW w:w="1590"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58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ACHGK040 ACHGK042 ACHGK046 ELBH348 ELBH416 ELBH421 ELBH437 ELBH454 ELBH458 ELBH547 ELBH574 ELBH586 ELBH690</w:t>
            </w: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5.4, 5.5, 5.6, 5.7</w:t>
            </w:r>
          </w:p>
        </w:tc>
      </w:tr>
      <w:tr w:rsidR="007C5792" w:rsidRPr="00E11036" w:rsidTr="00FD25DA">
        <w:trPr>
          <w:trHeight w:val="1693"/>
        </w:trPr>
        <w:tc>
          <w:tcPr>
            <w:tcW w:w="1109"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8</w:t>
            </w:r>
          </w:p>
        </w:tc>
        <w:tc>
          <w:tcPr>
            <w:tcW w:w="1590"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ELBS1065</w:t>
            </w:r>
          </w:p>
        </w:tc>
        <w:tc>
          <w:tcPr>
            <w:tcW w:w="258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ACHGK053 ELBH368 ELBH410 ELBH469  ELBH730</w:t>
            </w:r>
          </w:p>
        </w:tc>
        <w:tc>
          <w:tcPr>
            <w:tcW w:w="1979"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ACDSEH069 ACDSEH070 ACDSEH071 ACDSEH072 DELBH090 DELBH092 DELBH093 DELBH225</w:t>
            </w: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5.4, 5.5, 5.6, 5.7</w:t>
            </w:r>
          </w:p>
        </w:tc>
      </w:tr>
      <w:tr w:rsidR="007C5792" w:rsidRPr="00E11036" w:rsidTr="00FD25DA">
        <w:trPr>
          <w:trHeight w:val="600"/>
        </w:trPr>
        <w:tc>
          <w:tcPr>
            <w:tcW w:w="1109"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9</w:t>
            </w:r>
          </w:p>
        </w:tc>
        <w:tc>
          <w:tcPr>
            <w:tcW w:w="159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ELBS1092 ELBS1108</w:t>
            </w:r>
          </w:p>
        </w:tc>
        <w:tc>
          <w:tcPr>
            <w:tcW w:w="258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ACHGK063 ELBH577</w:t>
            </w: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6.4, 6.5, 6.7, 6.9</w:t>
            </w:r>
          </w:p>
        </w:tc>
      </w:tr>
      <w:tr w:rsidR="007C5792" w:rsidRPr="00E11036" w:rsidTr="00FD25DA">
        <w:trPr>
          <w:trHeight w:val="649"/>
        </w:trPr>
        <w:tc>
          <w:tcPr>
            <w:tcW w:w="1109" w:type="dxa"/>
            <w:shd w:val="clear" w:color="auto" w:fill="auto"/>
            <w:noWrap/>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10</w:t>
            </w:r>
          </w:p>
        </w:tc>
        <w:tc>
          <w:tcPr>
            <w:tcW w:w="159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ELBS1184 ELBS1202  ELBS 1205 ELBS1210</w:t>
            </w:r>
          </w:p>
        </w:tc>
        <w:tc>
          <w:tcPr>
            <w:tcW w:w="2580" w:type="dxa"/>
            <w:shd w:val="clear" w:color="auto" w:fill="auto"/>
            <w:hideMark/>
          </w:tcPr>
          <w:p w:rsidR="007C5792" w:rsidRPr="00C30E9A" w:rsidRDefault="007C5792" w:rsidP="00FD25DA">
            <w:pPr>
              <w:jc w:val="center"/>
              <w:rPr>
                <w:rFonts w:ascii="Arial" w:hAnsi="Arial" w:cs="Arial"/>
                <w:color w:val="000000"/>
                <w:lang w:eastAsia="en-AU"/>
              </w:rPr>
            </w:pPr>
          </w:p>
        </w:tc>
        <w:tc>
          <w:tcPr>
            <w:tcW w:w="1979"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ACDSEH127 ACDSEH128 DELBH180</w:t>
            </w:r>
          </w:p>
        </w:tc>
        <w:tc>
          <w:tcPr>
            <w:tcW w:w="2406" w:type="dxa"/>
            <w:shd w:val="clear" w:color="auto" w:fill="auto"/>
            <w:noWrap/>
            <w:hideMark/>
          </w:tcPr>
          <w:p w:rsidR="007C5792" w:rsidRPr="00C30E9A" w:rsidRDefault="007C5792" w:rsidP="00FD25DA">
            <w:pPr>
              <w:rPr>
                <w:rFonts w:ascii="Arial" w:hAnsi="Arial" w:cs="Arial"/>
                <w:color w:val="000000"/>
                <w:lang w:eastAsia="en-AU"/>
              </w:rPr>
            </w:pPr>
            <w:r w:rsidRPr="00C30E9A">
              <w:rPr>
                <w:rFonts w:ascii="Arial" w:hAnsi="Arial" w:cs="Arial"/>
                <w:color w:val="000000"/>
                <w:lang w:eastAsia="en-AU"/>
              </w:rPr>
              <w:t>6.4, 6.5, 6.7, 6.9</w:t>
            </w:r>
          </w:p>
        </w:tc>
      </w:tr>
      <w:tr w:rsidR="007C5792" w:rsidRPr="00E11036" w:rsidTr="00FD25DA">
        <w:trPr>
          <w:trHeight w:val="2175"/>
        </w:trPr>
        <w:tc>
          <w:tcPr>
            <w:tcW w:w="1109" w:type="dxa"/>
            <w:shd w:val="clear" w:color="auto" w:fill="auto"/>
            <w:noWrap/>
            <w:hideMark/>
          </w:tcPr>
          <w:p w:rsidR="007C5792" w:rsidRPr="00C30E9A" w:rsidRDefault="007C5792" w:rsidP="007C5792">
            <w:pPr>
              <w:jc w:val="left"/>
              <w:rPr>
                <w:rFonts w:ascii="Arial" w:hAnsi="Arial" w:cs="Arial"/>
                <w:color w:val="000000"/>
                <w:lang w:eastAsia="en-AU"/>
              </w:rPr>
            </w:pPr>
            <w:r w:rsidRPr="00C30E9A">
              <w:rPr>
                <w:rFonts w:ascii="Arial" w:hAnsi="Arial" w:cs="Arial"/>
                <w:color w:val="000000"/>
                <w:lang w:eastAsia="en-AU"/>
              </w:rPr>
              <w:t>11 and 12</w:t>
            </w:r>
          </w:p>
        </w:tc>
        <w:tc>
          <w:tcPr>
            <w:tcW w:w="159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ACSPH125 ACSBL071 ACSBL106 ACSCH123 ACSCH085 ACSES067 ACSES094 ACSES098 ACSES099 ACSES100 ACSES101 ACSES102 ACSES103 ACSES106 ACSES108</w:t>
            </w:r>
          </w:p>
        </w:tc>
        <w:tc>
          <w:tcPr>
            <w:tcW w:w="2580" w:type="dxa"/>
            <w:shd w:val="clear" w:color="auto" w:fill="auto"/>
            <w:hideMark/>
          </w:tcPr>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ACHGE012 ACHGE013 ACHGE014 ACHGE015 ACHGE016 ACHGE017 ACHGE018 ACHGE019 ACHGE020 ACHGE021</w:t>
            </w:r>
          </w:p>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ACHGE022 ACHGE023</w:t>
            </w:r>
          </w:p>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ACHGE024 ACHGE025</w:t>
            </w:r>
          </w:p>
          <w:p w:rsidR="007C5792" w:rsidRPr="00C30E9A" w:rsidRDefault="007C5792" w:rsidP="00FD25DA">
            <w:pPr>
              <w:jc w:val="center"/>
              <w:rPr>
                <w:rFonts w:ascii="Arial" w:hAnsi="Arial" w:cs="Arial"/>
                <w:color w:val="000000"/>
                <w:lang w:eastAsia="en-AU"/>
              </w:rPr>
            </w:pPr>
            <w:r w:rsidRPr="00C30E9A">
              <w:rPr>
                <w:rFonts w:ascii="Arial" w:hAnsi="Arial" w:cs="Arial"/>
                <w:color w:val="000000"/>
                <w:lang w:eastAsia="en-AU"/>
              </w:rPr>
              <w:t>ACHGE026 ACHGE027</w:t>
            </w:r>
          </w:p>
        </w:tc>
        <w:tc>
          <w:tcPr>
            <w:tcW w:w="1979" w:type="dxa"/>
            <w:shd w:val="clear" w:color="auto" w:fill="auto"/>
            <w:noWrap/>
            <w:vAlign w:val="bottom"/>
            <w:hideMark/>
          </w:tcPr>
          <w:p w:rsidR="007C5792" w:rsidRPr="00C30E9A" w:rsidRDefault="007C5792" w:rsidP="00FD25DA">
            <w:pPr>
              <w:jc w:val="center"/>
              <w:rPr>
                <w:rFonts w:ascii="Arial" w:hAnsi="Arial" w:cs="Arial"/>
                <w:color w:val="000000"/>
                <w:lang w:eastAsia="en-AU"/>
              </w:rPr>
            </w:pPr>
          </w:p>
        </w:tc>
        <w:tc>
          <w:tcPr>
            <w:tcW w:w="2406" w:type="dxa"/>
            <w:shd w:val="clear" w:color="auto" w:fill="auto"/>
            <w:noWrap/>
            <w:vAlign w:val="bottom"/>
            <w:hideMark/>
          </w:tcPr>
          <w:p w:rsidR="007C5792" w:rsidRPr="00C30E9A" w:rsidRDefault="007C5792" w:rsidP="00FD25DA">
            <w:pPr>
              <w:rPr>
                <w:rFonts w:ascii="Arial" w:hAnsi="Arial" w:cs="Arial"/>
                <w:color w:val="000000"/>
                <w:lang w:eastAsia="en-AU"/>
              </w:rPr>
            </w:pPr>
          </w:p>
        </w:tc>
      </w:tr>
    </w:tbl>
    <w:p w:rsidR="00392372" w:rsidRPr="00392372" w:rsidRDefault="00392372" w:rsidP="007C5792">
      <w:pPr>
        <w:rPr>
          <w:i/>
          <w:sz w:val="18"/>
          <w:szCs w:val="18"/>
        </w:rPr>
      </w:pPr>
      <w:bookmarkStart w:id="13" w:name="_Toc381779150"/>
      <w:bookmarkStart w:id="14" w:name="_Toc381875962"/>
      <w:r w:rsidRPr="00392372">
        <w:rPr>
          <w:i/>
          <w:sz w:val="18"/>
          <w:szCs w:val="18"/>
        </w:rPr>
        <w:t xml:space="preserve">Table </w:t>
      </w:r>
      <w:r w:rsidRPr="00392372">
        <w:rPr>
          <w:i/>
          <w:sz w:val="18"/>
          <w:szCs w:val="18"/>
        </w:rPr>
        <w:fldChar w:fldCharType="begin"/>
      </w:r>
      <w:r w:rsidRPr="00392372">
        <w:rPr>
          <w:i/>
          <w:sz w:val="18"/>
          <w:szCs w:val="18"/>
        </w:rPr>
        <w:instrText xml:space="preserve"> SEQ Table \* ARABIC </w:instrText>
      </w:r>
      <w:r w:rsidRPr="00392372">
        <w:rPr>
          <w:i/>
          <w:sz w:val="18"/>
          <w:szCs w:val="18"/>
        </w:rPr>
        <w:fldChar w:fldCharType="separate"/>
      </w:r>
      <w:r w:rsidR="004F0F6F">
        <w:rPr>
          <w:i/>
          <w:noProof/>
          <w:sz w:val="18"/>
          <w:szCs w:val="18"/>
        </w:rPr>
        <w:t>1</w:t>
      </w:r>
      <w:r w:rsidRPr="00392372">
        <w:rPr>
          <w:i/>
          <w:sz w:val="18"/>
          <w:szCs w:val="18"/>
        </w:rPr>
        <w:fldChar w:fldCharType="end"/>
      </w:r>
      <w:r w:rsidR="00D348D8">
        <w:rPr>
          <w:i/>
          <w:sz w:val="18"/>
          <w:szCs w:val="18"/>
        </w:rPr>
        <w:t>:</w:t>
      </w:r>
      <w:r w:rsidRPr="00392372">
        <w:rPr>
          <w:i/>
          <w:sz w:val="18"/>
          <w:szCs w:val="18"/>
        </w:rPr>
        <w:t xml:space="preserve"> </w:t>
      </w:r>
      <w:r w:rsidRPr="00392372">
        <w:rPr>
          <w:rFonts w:cs="Tahoma"/>
          <w:i/>
          <w:sz w:val="18"/>
          <w:szCs w:val="18"/>
          <w:lang w:val="en-GB"/>
        </w:rPr>
        <w:t>Curriculum map showing the main opportunities for DRR learning in the Australian Curriculum.</w:t>
      </w:r>
      <w:bookmarkEnd w:id="13"/>
      <w:bookmarkEnd w:id="14"/>
    </w:p>
    <w:p w:rsidR="007C5792" w:rsidRPr="00137F96" w:rsidRDefault="007C5792" w:rsidP="007C5792">
      <w:r w:rsidRPr="00137F96">
        <w:t xml:space="preserve">The codes in the Table 1 curriculum map refer to content descriptions (codes starting with ‘AC’) and elaborations to content descriptions (codes including ‘ELB’). The content description provides a higher level of opportunity than the elaborations. Thus, for example, there is more opportunity for curriculum development in Year 5 Geography than Year 6 Geography as the former has a content description (ACHGK030 – ‘The impact of bushfires or floods on environments and communities, and how people can respond’) directly pertaining </w:t>
      </w:r>
      <w:r w:rsidRPr="00137F96">
        <w:lastRenderedPageBreak/>
        <w:t xml:space="preserve">to an aspect of disaster resilience learning whilst the latter only is an elaboration to a content description that is not directly related. The codes in the draft Health and Physical Education (PE) curriculum all refer to elaborations. </w:t>
      </w:r>
    </w:p>
    <w:p w:rsidR="007C5792" w:rsidRPr="007C5792" w:rsidRDefault="007C5792" w:rsidP="007C5792">
      <w:pPr>
        <w:rPr>
          <w:lang w:val="en-AU"/>
        </w:rPr>
      </w:pPr>
      <w:r w:rsidRPr="007C5792">
        <w:rPr>
          <w:lang w:val="en-AU"/>
        </w:rPr>
        <w:t>Using this understanding</w:t>
      </w:r>
      <w:r w:rsidR="007412B9">
        <w:rPr>
          <w:lang w:val="en-AU"/>
        </w:rPr>
        <w:t xml:space="preserve"> of the curriculum map</w:t>
      </w:r>
      <w:r w:rsidRPr="007C5792">
        <w:rPr>
          <w:lang w:val="en-AU"/>
        </w:rPr>
        <w:t>, some observations can be made in relation to Table 1:</w:t>
      </w:r>
    </w:p>
    <w:p w:rsidR="007C5792" w:rsidRPr="007C5792" w:rsidRDefault="007412B9" w:rsidP="007C5792">
      <w:pPr>
        <w:pStyle w:val="ListParagraph"/>
        <w:numPr>
          <w:ilvl w:val="0"/>
          <w:numId w:val="10"/>
        </w:numPr>
        <w:rPr>
          <w:lang w:val="en-AU"/>
        </w:rPr>
      </w:pPr>
      <w:r>
        <w:rPr>
          <w:lang w:val="en-AU"/>
        </w:rPr>
        <w:t>T</w:t>
      </w:r>
      <w:r w:rsidR="007C5792" w:rsidRPr="007C5792">
        <w:rPr>
          <w:lang w:val="en-AU"/>
        </w:rPr>
        <w:t>he main curriculum development opportunities for disaster resilience learning are in Science and Geography.</w:t>
      </w:r>
    </w:p>
    <w:p w:rsidR="007C5792" w:rsidRPr="007C5792" w:rsidRDefault="007C5792" w:rsidP="007C5792">
      <w:pPr>
        <w:pStyle w:val="ListParagraph"/>
        <w:numPr>
          <w:ilvl w:val="0"/>
          <w:numId w:val="10"/>
        </w:numPr>
        <w:rPr>
          <w:lang w:val="en-AU"/>
        </w:rPr>
      </w:pPr>
      <w:r w:rsidRPr="007C5792">
        <w:rPr>
          <w:lang w:val="en-AU"/>
        </w:rPr>
        <w:t>Science - the main opportunities are in Year 6 Science (geological changes, extreme weather) and in Year 11-12 Earth and Environmental Science (the cause and impact of Earth hazards).</w:t>
      </w:r>
    </w:p>
    <w:p w:rsidR="007C5792" w:rsidRPr="007C5792" w:rsidRDefault="007C5792" w:rsidP="007C5792">
      <w:pPr>
        <w:pStyle w:val="ListParagraph"/>
        <w:numPr>
          <w:ilvl w:val="0"/>
          <w:numId w:val="10"/>
        </w:numPr>
        <w:rPr>
          <w:lang w:val="en-AU"/>
        </w:rPr>
      </w:pPr>
      <w:r w:rsidRPr="007C5792">
        <w:rPr>
          <w:lang w:val="en-AU"/>
        </w:rPr>
        <w:t>Geography - the main opportunities are in Year 5 (impact of and response to bushfires and floods), Year 7 (causes, impacts and responses to atmospheric or hydrological hazards), Year 8 (causes, impacts and responses to a geomorphological hazard), Year 9 (challenges of climate change) and Year 11-12 (natural and ecological hazards including a depth study).</w:t>
      </w:r>
    </w:p>
    <w:p w:rsidR="007C5792" w:rsidRPr="007C5792" w:rsidRDefault="007C5792" w:rsidP="007C5792">
      <w:pPr>
        <w:pStyle w:val="ListParagraph"/>
        <w:numPr>
          <w:ilvl w:val="0"/>
          <w:numId w:val="10"/>
        </w:numPr>
        <w:rPr>
          <w:lang w:val="en-AU"/>
        </w:rPr>
      </w:pPr>
      <w:r w:rsidRPr="007C5792">
        <w:rPr>
          <w:lang w:val="en-AU"/>
        </w:rPr>
        <w:t>History - the main opportunities are in studies of the Black Death plague (Year 8) and relating to environmental disasters such as Chernobyl (Year 10).</w:t>
      </w:r>
    </w:p>
    <w:p w:rsidR="007C5792" w:rsidRPr="007C5792" w:rsidRDefault="007C5792" w:rsidP="007C5792">
      <w:pPr>
        <w:pStyle w:val="ListParagraph"/>
        <w:numPr>
          <w:ilvl w:val="0"/>
          <w:numId w:val="10"/>
        </w:numPr>
        <w:rPr>
          <w:lang w:val="en-AU"/>
        </w:rPr>
      </w:pPr>
      <w:r w:rsidRPr="007C5792">
        <w:rPr>
          <w:lang w:val="en-AU"/>
        </w:rPr>
        <w:t>Health &amp; PE - the main opportunities are across all years and relate mainly to personal resilience in adversity, safety measures in emergencies, and decision-making for safety.</w:t>
      </w:r>
    </w:p>
    <w:p w:rsidR="007C5792" w:rsidRPr="007C5792" w:rsidRDefault="007C5792" w:rsidP="007C5792">
      <w:pPr>
        <w:pStyle w:val="ListParagraph"/>
        <w:numPr>
          <w:ilvl w:val="0"/>
          <w:numId w:val="10"/>
        </w:numPr>
        <w:rPr>
          <w:lang w:val="en-AU"/>
        </w:rPr>
      </w:pPr>
      <w:r w:rsidRPr="007C5792">
        <w:rPr>
          <w:lang w:val="en-AU"/>
        </w:rPr>
        <w:t>From Year 5 onwards there are generally good opportunities for disaster resilience learning across the curricula.</w:t>
      </w:r>
    </w:p>
    <w:p w:rsidR="007C5792" w:rsidRPr="007C5792" w:rsidRDefault="007C5792" w:rsidP="007C5792">
      <w:pPr>
        <w:pStyle w:val="ListParagraph"/>
        <w:numPr>
          <w:ilvl w:val="0"/>
          <w:numId w:val="10"/>
        </w:numPr>
        <w:rPr>
          <w:lang w:val="en-AU"/>
        </w:rPr>
      </w:pPr>
      <w:r w:rsidRPr="007C5792">
        <w:rPr>
          <w:lang w:val="en-AU"/>
        </w:rPr>
        <w:t xml:space="preserve">Other than a few elaborations, there are no direct opportunities for disaster resilience learning in Foundation to Year 4. </w:t>
      </w:r>
    </w:p>
    <w:p w:rsidR="007C5792" w:rsidRPr="007C5792" w:rsidRDefault="007C5792" w:rsidP="00AB31E4">
      <w:pPr>
        <w:rPr>
          <w:lang w:val="en-GB"/>
        </w:rPr>
      </w:pPr>
      <w:r>
        <w:rPr>
          <w:lang w:val="en-GB"/>
        </w:rPr>
        <w:t xml:space="preserve">The curriculum mapping report </w:t>
      </w:r>
      <w:r>
        <w:rPr>
          <w:lang w:val="en-AU"/>
        </w:rPr>
        <w:t>(</w:t>
      </w:r>
      <w:r w:rsidRPr="007C5792">
        <w:t>dk2</w:t>
      </w:r>
      <w:r>
        <w:t xml:space="preserve"> </w:t>
      </w:r>
      <w:proofErr w:type="spellStart"/>
      <w:r>
        <w:t>Pty</w:t>
      </w:r>
      <w:proofErr w:type="spellEnd"/>
      <w:r>
        <w:t xml:space="preserve"> Ltd, 2013)</w:t>
      </w:r>
      <w:r>
        <w:rPr>
          <w:lang w:val="en-GB"/>
        </w:rPr>
        <w:t xml:space="preserve"> for the </w:t>
      </w:r>
      <w:r w:rsidRPr="007C5792">
        <w:rPr>
          <w:i/>
          <w:lang w:val="en-AU"/>
        </w:rPr>
        <w:t>Nation</w:t>
      </w:r>
      <w:r>
        <w:rPr>
          <w:i/>
          <w:lang w:val="en-AU"/>
        </w:rPr>
        <w:t xml:space="preserve">al Emergency Management Project - Educating the Educators </w:t>
      </w:r>
      <w:r>
        <w:rPr>
          <w:lang w:val="en-AU"/>
        </w:rPr>
        <w:t>showed that existing DRR programs and supporting resources could be</w:t>
      </w:r>
      <w:r w:rsidR="007412B9">
        <w:rPr>
          <w:lang w:val="en-AU"/>
        </w:rPr>
        <w:t xml:space="preserve"> also be</w:t>
      </w:r>
      <w:r>
        <w:rPr>
          <w:lang w:val="en-AU"/>
        </w:rPr>
        <w:t xml:space="preserve"> ‘retrofitted’ into </w:t>
      </w:r>
      <w:r w:rsidR="007412B9">
        <w:rPr>
          <w:lang w:val="en-AU"/>
        </w:rPr>
        <w:t xml:space="preserve">appropriate locations in </w:t>
      </w:r>
      <w:r>
        <w:rPr>
          <w:lang w:val="en-AU"/>
        </w:rPr>
        <w:t>the Australian Curriculum. Thus, there was opportunity to integrate existing materials</w:t>
      </w:r>
      <w:r w:rsidR="00DA11AA">
        <w:rPr>
          <w:lang w:val="en-AU"/>
        </w:rPr>
        <w:t>,</w:t>
      </w:r>
      <w:r>
        <w:rPr>
          <w:lang w:val="en-AU"/>
        </w:rPr>
        <w:t xml:space="preserve"> as well as develop new ones.</w:t>
      </w:r>
    </w:p>
    <w:p w:rsidR="00210576" w:rsidRDefault="00DA11AA" w:rsidP="00AB31E4">
      <w:pPr>
        <w:rPr>
          <w:lang w:val="en-GB"/>
        </w:rPr>
      </w:pPr>
      <w:r>
        <w:rPr>
          <w:lang w:val="en-GB"/>
        </w:rPr>
        <w:t xml:space="preserve">With the development of an Australian Curriculum, there is now </w:t>
      </w:r>
      <w:r w:rsidR="007412B9">
        <w:rPr>
          <w:lang w:val="en-GB"/>
        </w:rPr>
        <w:t xml:space="preserve">the possibility of </w:t>
      </w:r>
      <w:r>
        <w:rPr>
          <w:lang w:val="en-GB"/>
        </w:rPr>
        <w:t xml:space="preserve">an Australia-wide approach to DRR education in schools. The Australian Emergency Management Institute (AEMI), through Emergency Management Australia (part of the Attorney-General’s Department), is a Centre of Excellence for knowledge and skills development in the national emergency management sector. Since 1956, AEMI has provided education, training, professional development, information, research and community awareness services including the </w:t>
      </w:r>
      <w:r w:rsidR="006D73E9">
        <w:rPr>
          <w:lang w:val="en-GB"/>
        </w:rPr>
        <w:t xml:space="preserve">recently-commenced </w:t>
      </w:r>
      <w:r>
        <w:rPr>
          <w:lang w:val="en-GB"/>
        </w:rPr>
        <w:t>Disaster Resilience for Schools program.</w:t>
      </w:r>
    </w:p>
    <w:p w:rsidR="00C47835" w:rsidRDefault="00C47835" w:rsidP="00AB31E4">
      <w:pPr>
        <w:rPr>
          <w:lang w:val="en-GB"/>
        </w:rPr>
      </w:pPr>
      <w:r>
        <w:rPr>
          <w:lang w:val="en-GB"/>
        </w:rPr>
        <w:t>The Disaster Resilience for Schools program includes:</w:t>
      </w:r>
    </w:p>
    <w:p w:rsidR="00C47835" w:rsidRDefault="00C47835" w:rsidP="00C47835">
      <w:pPr>
        <w:pStyle w:val="ListParagraph"/>
        <w:numPr>
          <w:ilvl w:val="0"/>
          <w:numId w:val="12"/>
        </w:numPr>
        <w:rPr>
          <w:lang w:val="en-GB"/>
        </w:rPr>
      </w:pPr>
      <w:r>
        <w:rPr>
          <w:lang w:val="en-GB"/>
        </w:rPr>
        <w:t xml:space="preserve">Disaster Resilience for Schools website comprising a range of teaching and learning activities developed with current teaching pedagogy in mind. </w:t>
      </w:r>
      <w:hyperlink r:id="rId12" w:history="1">
        <w:r w:rsidRPr="00C22B3A">
          <w:rPr>
            <w:rStyle w:val="Hyperlink"/>
            <w:lang w:val="en-GB"/>
          </w:rPr>
          <w:t>www.schools.aemi.edu.au</w:t>
        </w:r>
      </w:hyperlink>
    </w:p>
    <w:p w:rsidR="00C47835" w:rsidRDefault="00C47835" w:rsidP="00C47835">
      <w:pPr>
        <w:pStyle w:val="ListParagraph"/>
        <w:numPr>
          <w:ilvl w:val="0"/>
          <w:numId w:val="12"/>
        </w:numPr>
        <w:rPr>
          <w:lang w:val="en-GB"/>
        </w:rPr>
      </w:pPr>
      <w:r>
        <w:rPr>
          <w:lang w:val="en-GB"/>
        </w:rPr>
        <w:t xml:space="preserve">Australian curriculum review. Emergency Management </w:t>
      </w:r>
      <w:r w:rsidR="007412B9">
        <w:rPr>
          <w:lang w:val="en-GB"/>
        </w:rPr>
        <w:t xml:space="preserve">Australia </w:t>
      </w:r>
      <w:r>
        <w:rPr>
          <w:lang w:val="en-GB"/>
        </w:rPr>
        <w:t>has been involved in the development of DRR content and skills in the Australian Curriculum.</w:t>
      </w:r>
    </w:p>
    <w:p w:rsidR="00C47835" w:rsidRDefault="00C47835" w:rsidP="00C47835">
      <w:pPr>
        <w:pStyle w:val="ListParagraph"/>
        <w:numPr>
          <w:ilvl w:val="0"/>
          <w:numId w:val="12"/>
        </w:numPr>
        <w:rPr>
          <w:lang w:val="en-GB"/>
        </w:rPr>
      </w:pPr>
      <w:r>
        <w:rPr>
          <w:lang w:val="en-GB"/>
        </w:rPr>
        <w:lastRenderedPageBreak/>
        <w:t xml:space="preserve">Disaster Resilient Australia School Education Network (DRASEN). In 2012, </w:t>
      </w:r>
      <w:r w:rsidR="007412B9">
        <w:rPr>
          <w:lang w:val="en-GB"/>
        </w:rPr>
        <w:t>the Attorney-General’s Department</w:t>
      </w:r>
      <w:r>
        <w:rPr>
          <w:lang w:val="en-GB"/>
        </w:rPr>
        <w:t xml:space="preserve"> supported plans to commence a national network on disaster resilience education.</w:t>
      </w:r>
      <w:r w:rsidR="00694716">
        <w:rPr>
          <w:lang w:val="en-GB"/>
        </w:rPr>
        <w:t xml:space="preserve"> DRASEN was established and structured to be the national broker of engagement and strategic advice between educational professionals, emergency agencies and policy makers, including endeavours to embed the key messages of the National Strategy for Disaster Resilience into the Australian Curriculum. DRASEN has convened twice to date with 32 agencies represented. </w:t>
      </w:r>
    </w:p>
    <w:p w:rsidR="00694716" w:rsidRDefault="00694716" w:rsidP="00C47835">
      <w:pPr>
        <w:pStyle w:val="ListParagraph"/>
        <w:numPr>
          <w:ilvl w:val="0"/>
          <w:numId w:val="12"/>
        </w:numPr>
        <w:rPr>
          <w:lang w:val="en-GB"/>
        </w:rPr>
      </w:pPr>
      <w:r>
        <w:rPr>
          <w:lang w:val="en-GB"/>
        </w:rPr>
        <w:t>The special January edition of the Australian Journal of Emergency Management focussed on ‘Children, Youth and Education’ and included articles about DRR school education.</w:t>
      </w:r>
    </w:p>
    <w:p w:rsidR="00694716" w:rsidRDefault="00694716" w:rsidP="00694716">
      <w:pPr>
        <w:pStyle w:val="ListParagraph"/>
        <w:numPr>
          <w:ilvl w:val="0"/>
          <w:numId w:val="12"/>
        </w:numPr>
        <w:rPr>
          <w:lang w:val="en-AU"/>
        </w:rPr>
      </w:pPr>
      <w:r>
        <w:rPr>
          <w:lang w:val="en-AU"/>
        </w:rPr>
        <w:t>As cited above, t</w:t>
      </w:r>
      <w:r w:rsidRPr="00694716">
        <w:rPr>
          <w:lang w:val="en-AU"/>
        </w:rPr>
        <w:t>he National Emergency Management Projects (NEMP)</w:t>
      </w:r>
      <w:r w:rsidRPr="00694716">
        <w:rPr>
          <w:i/>
          <w:lang w:val="en-AU"/>
        </w:rPr>
        <w:t xml:space="preserve"> Educating the Educators: Disaster Resilience Resource Mapping Report </w:t>
      </w:r>
      <w:r>
        <w:rPr>
          <w:lang w:val="en-AU"/>
        </w:rPr>
        <w:t>(</w:t>
      </w:r>
      <w:r w:rsidRPr="007C5792">
        <w:t>dk2</w:t>
      </w:r>
      <w:r>
        <w:t xml:space="preserve"> </w:t>
      </w:r>
      <w:proofErr w:type="spellStart"/>
      <w:r>
        <w:t>Pty</w:t>
      </w:r>
      <w:proofErr w:type="spellEnd"/>
      <w:r>
        <w:t xml:space="preserve"> Ltd, 2013)</w:t>
      </w:r>
      <w:r>
        <w:rPr>
          <w:lang w:val="en-GB"/>
        </w:rPr>
        <w:t xml:space="preserve"> </w:t>
      </w:r>
      <w:r w:rsidRPr="00694716">
        <w:rPr>
          <w:lang w:val="en-AU"/>
        </w:rPr>
        <w:t>is a component of a larger NEMP project: Educating the Educators – which aims to develop disaster resilience within primary and secondary students by improving teacher understanding and confidence in using Disaster Resilience Education (DRE) resources from Australian sources which are explicitly linked to the Australian curriculum.</w:t>
      </w:r>
    </w:p>
    <w:p w:rsidR="007412B9" w:rsidRDefault="006D73E9" w:rsidP="001F7DFE">
      <w:pPr>
        <w:rPr>
          <w:lang w:val="en-GB"/>
        </w:rPr>
      </w:pPr>
      <w:r>
        <w:rPr>
          <w:lang w:val="en-AU"/>
        </w:rPr>
        <w:t>D</w:t>
      </w:r>
      <w:r w:rsidR="001F7DFE">
        <w:rPr>
          <w:lang w:val="en-AU"/>
        </w:rPr>
        <w:t xml:space="preserve">ue to the influence of </w:t>
      </w:r>
      <w:r w:rsidR="001F7DFE">
        <w:rPr>
          <w:lang w:val="en-GB"/>
        </w:rPr>
        <w:t>Disaster Resilience for Schools program</w:t>
      </w:r>
      <w:r w:rsidR="007412B9">
        <w:rPr>
          <w:lang w:val="en-GB"/>
        </w:rPr>
        <w:t xml:space="preserve"> and other factors</w:t>
      </w:r>
      <w:r>
        <w:rPr>
          <w:lang w:val="en-GB"/>
        </w:rPr>
        <w:t xml:space="preserve"> discussed below</w:t>
      </w:r>
      <w:r w:rsidR="001F7DFE">
        <w:rPr>
          <w:lang w:val="en-GB"/>
        </w:rPr>
        <w:t>, many of the emergency services organisations now have DRR education resources for teachers and students that are linked to the Australian Curriculum.</w:t>
      </w:r>
      <w:r w:rsidR="007412B9">
        <w:rPr>
          <w:lang w:val="en-GB"/>
        </w:rPr>
        <w:t xml:space="preserve"> For example, the Victorian Country Fire Authority has its ‘Fire safe kids’ and ‘Fire safe youth’ programs linked to the Victorian curricula (and will link to the Australian Curriculum) and the DFES Online Natural Hazards program is linked to the Australian Curriculum.</w:t>
      </w:r>
    </w:p>
    <w:p w:rsidR="00462BB4" w:rsidRPr="007412B9" w:rsidRDefault="00462BB4" w:rsidP="001F7DFE">
      <w:pPr>
        <w:rPr>
          <w:lang w:val="en-GB"/>
        </w:rPr>
      </w:pPr>
      <w:proofErr w:type="gramStart"/>
      <w:r>
        <w:rPr>
          <w:lang w:val="en-GB"/>
        </w:rPr>
        <w:t>Comparin</w:t>
      </w:r>
      <w:r w:rsidR="00A6207B">
        <w:rPr>
          <w:lang w:val="en-GB"/>
        </w:rPr>
        <w:t xml:space="preserve">g </w:t>
      </w:r>
      <w:r>
        <w:rPr>
          <w:lang w:val="en-GB"/>
        </w:rPr>
        <w:t xml:space="preserve">the </w:t>
      </w:r>
      <w:proofErr w:type="spellStart"/>
      <w:r w:rsidRPr="007E7028">
        <w:rPr>
          <w:rFonts w:cs="Tahoma"/>
          <w:lang w:val="en-AU"/>
        </w:rPr>
        <w:t>Kriewaldt</w:t>
      </w:r>
      <w:proofErr w:type="spellEnd"/>
      <w:r w:rsidRPr="007E7028">
        <w:rPr>
          <w:rFonts w:cs="Tahoma"/>
          <w:lang w:val="en-AU"/>
        </w:rPr>
        <w:t xml:space="preserve"> et.al.</w:t>
      </w:r>
      <w:proofErr w:type="gramEnd"/>
      <w:r w:rsidR="00A6207B">
        <w:rPr>
          <w:rFonts w:cs="Tahoma"/>
          <w:lang w:val="en-AU"/>
        </w:rPr>
        <w:t xml:space="preserve"> </w:t>
      </w:r>
      <w:r w:rsidRPr="007E7028">
        <w:rPr>
          <w:rFonts w:cs="Tahoma"/>
          <w:lang w:val="en-AU"/>
        </w:rPr>
        <w:t>(2003)</w:t>
      </w:r>
      <w:r w:rsidR="00A6207B">
        <w:rPr>
          <w:rFonts w:cs="Tahoma"/>
          <w:lang w:val="en-AU"/>
        </w:rPr>
        <w:t xml:space="preserve"> article</w:t>
      </w:r>
      <w:r>
        <w:rPr>
          <w:rFonts w:cs="Tahoma"/>
          <w:lang w:val="en-AU"/>
        </w:rPr>
        <w:t xml:space="preserve"> findings with those of the curriculum mapping for this review (Table 1)</w:t>
      </w:r>
      <w:r w:rsidR="002D5F2D">
        <w:rPr>
          <w:rFonts w:cs="Tahoma"/>
          <w:lang w:val="en-AU"/>
        </w:rPr>
        <w:t>,</w:t>
      </w:r>
      <w:r>
        <w:rPr>
          <w:rFonts w:cs="Tahoma"/>
          <w:lang w:val="en-AU"/>
        </w:rPr>
        <w:t xml:space="preserve"> it appears that there are more opportunities for the integration of DRR teaching/learning resources in the </w:t>
      </w:r>
      <w:r w:rsidR="00A6207B">
        <w:rPr>
          <w:rFonts w:cs="Tahoma"/>
          <w:lang w:val="en-AU"/>
        </w:rPr>
        <w:t xml:space="preserve">new </w:t>
      </w:r>
      <w:r>
        <w:rPr>
          <w:rFonts w:cs="Tahoma"/>
          <w:lang w:val="en-AU"/>
        </w:rPr>
        <w:t>Australian</w:t>
      </w:r>
      <w:r w:rsidR="00A6207B">
        <w:rPr>
          <w:rFonts w:cs="Tahoma"/>
          <w:lang w:val="en-AU"/>
        </w:rPr>
        <w:t xml:space="preserve"> C</w:t>
      </w:r>
      <w:r>
        <w:rPr>
          <w:rFonts w:cs="Tahoma"/>
          <w:lang w:val="en-AU"/>
        </w:rPr>
        <w:t>urriculum than in previous jurisdictional curricula. This observation relates to integration both across levels and subjects.</w:t>
      </w:r>
    </w:p>
    <w:p w:rsidR="009F7AE5" w:rsidRDefault="00AB31E4" w:rsidP="0003045F">
      <w:pPr>
        <w:pStyle w:val="Heading1"/>
        <w:rPr>
          <w:lang w:val="en-GB"/>
        </w:rPr>
      </w:pPr>
      <w:bookmarkStart w:id="15" w:name="_Toc381779053"/>
      <w:bookmarkStart w:id="16" w:name="_Toc381875954"/>
      <w:r>
        <w:rPr>
          <w:lang w:val="en-GB"/>
        </w:rPr>
        <w:t>Discussion</w:t>
      </w:r>
      <w:bookmarkEnd w:id="15"/>
      <w:bookmarkEnd w:id="16"/>
    </w:p>
    <w:p w:rsidR="00A6207B" w:rsidRPr="009D1DF6" w:rsidRDefault="00A6207B" w:rsidP="00A6207B">
      <w:pPr>
        <w:pStyle w:val="Heading2"/>
        <w:rPr>
          <w:lang w:val="en-GB"/>
        </w:rPr>
      </w:pPr>
      <w:bookmarkStart w:id="17" w:name="_Toc381875955"/>
      <w:r>
        <w:rPr>
          <w:lang w:val="en-GB"/>
        </w:rPr>
        <w:t>Changes since 2005</w:t>
      </w:r>
      <w:bookmarkEnd w:id="17"/>
    </w:p>
    <w:p w:rsidR="001F7DFE" w:rsidRDefault="001F7DFE" w:rsidP="00180521">
      <w:pPr>
        <w:rPr>
          <w:lang w:val="en-GB"/>
        </w:rPr>
      </w:pPr>
      <w:r>
        <w:rPr>
          <w:lang w:val="en-GB"/>
        </w:rPr>
        <w:t xml:space="preserve">As shown from the findings, there has been a considerable upsurge in the integration of DRR into Australian </w:t>
      </w:r>
      <w:r w:rsidR="002D5F2D">
        <w:rPr>
          <w:lang w:val="en-GB"/>
        </w:rPr>
        <w:t>programs and materials</w:t>
      </w:r>
      <w:r w:rsidR="001D17EF">
        <w:rPr>
          <w:lang w:val="en-GB"/>
        </w:rPr>
        <w:t xml:space="preserve"> since 2005</w:t>
      </w:r>
      <w:r w:rsidR="00A6207B">
        <w:rPr>
          <w:lang w:val="en-GB"/>
        </w:rPr>
        <w:t>, and particularly since 2009</w:t>
      </w:r>
      <w:r>
        <w:rPr>
          <w:lang w:val="en-GB"/>
        </w:rPr>
        <w:t xml:space="preserve">. It appears that this has </w:t>
      </w:r>
      <w:r w:rsidR="001D17EF">
        <w:rPr>
          <w:lang w:val="en-GB"/>
        </w:rPr>
        <w:t>largely been due to four factors:</w:t>
      </w:r>
    </w:p>
    <w:p w:rsidR="001D17EF" w:rsidRDefault="00462BB4" w:rsidP="001D17EF">
      <w:pPr>
        <w:pStyle w:val="ListParagraph"/>
        <w:numPr>
          <w:ilvl w:val="0"/>
          <w:numId w:val="13"/>
        </w:numPr>
        <w:rPr>
          <w:lang w:val="en-GB"/>
        </w:rPr>
      </w:pPr>
      <w:r>
        <w:rPr>
          <w:lang w:val="en-GB"/>
        </w:rPr>
        <w:t>Australian curricula</w:t>
      </w:r>
      <w:r w:rsidR="00A6207B">
        <w:rPr>
          <w:lang w:val="en-GB"/>
        </w:rPr>
        <w:t xml:space="preserve"> (and particularly the Australian Curriculum)</w:t>
      </w:r>
      <w:r w:rsidR="001D17EF">
        <w:rPr>
          <w:lang w:val="en-GB"/>
        </w:rPr>
        <w:t xml:space="preserve"> </w:t>
      </w:r>
      <w:r>
        <w:rPr>
          <w:lang w:val="en-GB"/>
        </w:rPr>
        <w:t>that have</w:t>
      </w:r>
      <w:r w:rsidR="001D17EF">
        <w:rPr>
          <w:lang w:val="en-GB"/>
        </w:rPr>
        <w:t xml:space="preserve"> a range of content pertaining to DRR and disaster resilience across subjects and levels.</w:t>
      </w:r>
    </w:p>
    <w:p w:rsidR="001D17EF" w:rsidRDefault="001D17EF" w:rsidP="001D17EF">
      <w:pPr>
        <w:pStyle w:val="ListParagraph"/>
        <w:numPr>
          <w:ilvl w:val="0"/>
          <w:numId w:val="13"/>
        </w:numPr>
        <w:rPr>
          <w:lang w:val="en-GB"/>
        </w:rPr>
      </w:pPr>
      <w:r>
        <w:rPr>
          <w:lang w:val="en-GB"/>
        </w:rPr>
        <w:t>The Disaster Resilience for Schools program including DRASEN which coordinates and encourages the development of curriculum-integrated DRR</w:t>
      </w:r>
      <w:r w:rsidR="002D5F2D">
        <w:rPr>
          <w:lang w:val="en-GB"/>
        </w:rPr>
        <w:t xml:space="preserve"> programs and materials</w:t>
      </w:r>
      <w:r>
        <w:rPr>
          <w:lang w:val="en-GB"/>
        </w:rPr>
        <w:t xml:space="preserve"> by emergency services organisations and </w:t>
      </w:r>
      <w:r w:rsidR="002D5F2D">
        <w:rPr>
          <w:lang w:val="en-GB"/>
        </w:rPr>
        <w:t>their</w:t>
      </w:r>
      <w:r>
        <w:rPr>
          <w:lang w:val="en-GB"/>
        </w:rPr>
        <w:t xml:space="preserve"> use by teachers.</w:t>
      </w:r>
    </w:p>
    <w:p w:rsidR="00A8284D" w:rsidRPr="00A8284D" w:rsidRDefault="001D17EF" w:rsidP="00A8284D">
      <w:pPr>
        <w:pStyle w:val="ListParagraph"/>
        <w:numPr>
          <w:ilvl w:val="0"/>
          <w:numId w:val="13"/>
        </w:numPr>
        <w:rPr>
          <w:lang w:val="en-GB"/>
        </w:rPr>
      </w:pPr>
      <w:r w:rsidRPr="00A8284D">
        <w:rPr>
          <w:lang w:val="en-AU"/>
        </w:rPr>
        <w:t xml:space="preserve">The </w:t>
      </w:r>
      <w:r w:rsidR="00A8284D" w:rsidRPr="00A8284D">
        <w:rPr>
          <w:lang w:val="en-AU"/>
        </w:rPr>
        <w:t>National Strategy for Disaster Resilience. The Strategy, adopted by COAG in 2011, uses a whole-of-nation, resilience-based approach to disaster management, which recognises that a national, coordinated and cooperative effort is needed to enhance Australia’s capacity to prepare for, withstand and recover from disasters. One of its key groups of actions is ‘communicating with and educating people about risks’.</w:t>
      </w:r>
      <w:r w:rsidR="00A6207B">
        <w:rPr>
          <w:lang w:val="en-AU"/>
        </w:rPr>
        <w:t xml:space="preserve"> This appears to have encouraged emergency services organisations to develop DRR education resources linked to the Australia</w:t>
      </w:r>
      <w:r w:rsidR="002D5F2D">
        <w:rPr>
          <w:lang w:val="en-AU"/>
        </w:rPr>
        <w:t>n</w:t>
      </w:r>
      <w:r w:rsidR="00A6207B">
        <w:rPr>
          <w:lang w:val="en-AU"/>
        </w:rPr>
        <w:t xml:space="preserve"> Curriculum.</w:t>
      </w:r>
    </w:p>
    <w:p w:rsidR="00A8284D" w:rsidRPr="00FD25DA" w:rsidRDefault="00A8284D" w:rsidP="00A8284D">
      <w:pPr>
        <w:pStyle w:val="ListParagraph"/>
        <w:numPr>
          <w:ilvl w:val="0"/>
          <w:numId w:val="13"/>
        </w:numPr>
        <w:rPr>
          <w:lang w:val="en-GB"/>
        </w:rPr>
      </w:pPr>
      <w:r>
        <w:rPr>
          <w:lang w:val="en-GB"/>
        </w:rPr>
        <w:t xml:space="preserve">Recommendations from inquiries into major natural disasters into Australian disasters. For example, </w:t>
      </w:r>
      <w:r w:rsidR="00FD25DA">
        <w:rPr>
          <w:lang w:val="en-GB"/>
        </w:rPr>
        <w:t xml:space="preserve">a recommendation from the 2009 Victorian Bushfires Royal Commission was that </w:t>
      </w:r>
      <w:r w:rsidR="00FD25DA">
        <w:rPr>
          <w:lang w:val="en-AU"/>
        </w:rPr>
        <w:t>‘t</w:t>
      </w:r>
      <w:r w:rsidR="00FD25DA" w:rsidRPr="00FD25DA">
        <w:rPr>
          <w:lang w:val="en-AU"/>
        </w:rPr>
        <w:t xml:space="preserve">he State </w:t>
      </w:r>
      <w:proofErr w:type="gramStart"/>
      <w:r w:rsidR="00FD25DA" w:rsidRPr="00FD25DA">
        <w:rPr>
          <w:lang w:val="en-AU"/>
        </w:rPr>
        <w:t>revise</w:t>
      </w:r>
      <w:proofErr w:type="gramEnd"/>
      <w:r w:rsidR="00FD25DA" w:rsidRPr="00FD25DA">
        <w:rPr>
          <w:lang w:val="en-AU"/>
        </w:rPr>
        <w:t xml:space="preserve"> the approach to community </w:t>
      </w:r>
      <w:r w:rsidR="00FD25DA" w:rsidRPr="00FD25DA">
        <w:rPr>
          <w:lang w:val="en-AU"/>
        </w:rPr>
        <w:lastRenderedPageBreak/>
        <w:t>bushfire safety education</w:t>
      </w:r>
      <w:r w:rsidR="00FD25DA">
        <w:rPr>
          <w:lang w:val="en-AU"/>
        </w:rPr>
        <w:t>’. These recommendations appear to have prompted more activity in DRR education</w:t>
      </w:r>
      <w:r w:rsidR="00652866">
        <w:rPr>
          <w:lang w:val="en-AU"/>
        </w:rPr>
        <w:t>,</w:t>
      </w:r>
      <w:r w:rsidR="00FD25DA">
        <w:rPr>
          <w:lang w:val="en-AU"/>
        </w:rPr>
        <w:t xml:space="preserve"> including that for schools.</w:t>
      </w:r>
    </w:p>
    <w:p w:rsidR="00FD25DA" w:rsidRDefault="00FD25DA" w:rsidP="00FD25DA">
      <w:pPr>
        <w:rPr>
          <w:lang w:val="en-GB"/>
        </w:rPr>
      </w:pPr>
      <w:r>
        <w:rPr>
          <w:lang w:val="en-GB"/>
        </w:rPr>
        <w:t>Although there has been considerable progress made in the integration of DRR in</w:t>
      </w:r>
      <w:r w:rsidR="00A6207B">
        <w:rPr>
          <w:lang w:val="en-GB"/>
        </w:rPr>
        <w:t>to</w:t>
      </w:r>
      <w:r>
        <w:rPr>
          <w:lang w:val="en-GB"/>
        </w:rPr>
        <w:t xml:space="preserve"> Australian curricula and supporting resources for teachers and students, DRR education is only a small part of the overall mitigation activities across the country. From this and other research, it appears that DRR education (including DRR school education) is on average less than two percent of the budget of Australian emergency agencies.</w:t>
      </w:r>
    </w:p>
    <w:p w:rsidR="00E12F88" w:rsidRPr="00392372" w:rsidRDefault="00FD25DA" w:rsidP="00392372">
      <w:pPr>
        <w:rPr>
          <w:lang w:val="en-GB"/>
        </w:rPr>
      </w:pPr>
      <w:r>
        <w:rPr>
          <w:lang w:val="en-GB"/>
        </w:rPr>
        <w:t xml:space="preserve">Another gauge of the importance of DRR education in Australian disaster mitigation is through a review of disaster risk management policies and plans. DRR education is generally included as one option out of many. For example, in the New South Wales Floodplain </w:t>
      </w:r>
      <w:r w:rsidR="00E12F88">
        <w:rPr>
          <w:lang w:val="en-GB"/>
        </w:rPr>
        <w:t>Development</w:t>
      </w:r>
      <w:r>
        <w:rPr>
          <w:lang w:val="en-GB"/>
        </w:rPr>
        <w:t xml:space="preserve"> Manual (</w:t>
      </w:r>
      <w:r w:rsidR="000770BE">
        <w:rPr>
          <w:lang w:val="en-GB"/>
        </w:rPr>
        <w:t>Department of Infrastructure, Planning and Natural Resources</w:t>
      </w:r>
      <w:r>
        <w:rPr>
          <w:lang w:val="en-GB"/>
        </w:rPr>
        <w:t xml:space="preserve">, 2005), DRR education (all sectors including schools) is one option in response modification (see </w:t>
      </w:r>
      <w:r w:rsidR="00E12F88">
        <w:rPr>
          <w:lang w:val="en-GB"/>
        </w:rPr>
        <w:t>Table 2</w:t>
      </w:r>
      <w:r>
        <w:rPr>
          <w:lang w:val="en-GB"/>
        </w:rPr>
        <w:t>)</w:t>
      </w:r>
      <w:r w:rsidR="00E12F88">
        <w:rPr>
          <w:lang w:val="en-GB"/>
        </w:rPr>
        <w:t>.</w:t>
      </w:r>
    </w:p>
    <w:tbl>
      <w:tblPr>
        <w:tblStyle w:val="TableGrid"/>
        <w:tblW w:w="0" w:type="auto"/>
        <w:tblLook w:val="04A0" w:firstRow="1" w:lastRow="0" w:firstColumn="1" w:lastColumn="0" w:noHBand="0" w:noVBand="1"/>
      </w:tblPr>
      <w:tblGrid>
        <w:gridCol w:w="3096"/>
        <w:gridCol w:w="3096"/>
        <w:gridCol w:w="3096"/>
      </w:tblGrid>
      <w:tr w:rsidR="00E12F88" w:rsidTr="00E12F88">
        <w:tc>
          <w:tcPr>
            <w:tcW w:w="3096" w:type="dxa"/>
          </w:tcPr>
          <w:p w:rsidR="00E12F88" w:rsidRPr="00E12F88" w:rsidRDefault="00E12F88" w:rsidP="00E12F88">
            <w:pPr>
              <w:jc w:val="center"/>
              <w:rPr>
                <w:u w:val="single"/>
                <w:lang w:val="en-AU"/>
              </w:rPr>
            </w:pPr>
            <w:r w:rsidRPr="00E12F88">
              <w:rPr>
                <w:u w:val="single"/>
                <w:lang w:val="en-AU"/>
              </w:rPr>
              <w:t>Property Modification Measures</w:t>
            </w:r>
          </w:p>
        </w:tc>
        <w:tc>
          <w:tcPr>
            <w:tcW w:w="3096" w:type="dxa"/>
          </w:tcPr>
          <w:p w:rsidR="00E12F88" w:rsidRPr="00E12F88" w:rsidRDefault="00E12F88" w:rsidP="00E12F88">
            <w:pPr>
              <w:jc w:val="center"/>
              <w:rPr>
                <w:u w:val="single"/>
                <w:lang w:val="en-AU"/>
              </w:rPr>
            </w:pPr>
            <w:r w:rsidRPr="00E12F88">
              <w:rPr>
                <w:u w:val="single"/>
                <w:lang w:val="en-AU"/>
              </w:rPr>
              <w:t>Response Modification Measures</w:t>
            </w:r>
          </w:p>
        </w:tc>
        <w:tc>
          <w:tcPr>
            <w:tcW w:w="3096" w:type="dxa"/>
          </w:tcPr>
          <w:p w:rsidR="00E12F88" w:rsidRPr="00E12F88" w:rsidRDefault="00E12F88" w:rsidP="00E12F88">
            <w:pPr>
              <w:jc w:val="center"/>
              <w:rPr>
                <w:u w:val="single"/>
                <w:lang w:val="en-AU"/>
              </w:rPr>
            </w:pPr>
            <w:r w:rsidRPr="00E12F88">
              <w:rPr>
                <w:u w:val="single"/>
                <w:lang w:val="en-AU"/>
              </w:rPr>
              <w:t>Flood Modification Measures</w:t>
            </w:r>
          </w:p>
        </w:tc>
      </w:tr>
      <w:tr w:rsidR="00E12F88" w:rsidTr="00E12F88">
        <w:tc>
          <w:tcPr>
            <w:tcW w:w="3096" w:type="dxa"/>
          </w:tcPr>
          <w:p w:rsidR="00E12F88" w:rsidRDefault="00E12F88" w:rsidP="00E12F88">
            <w:pPr>
              <w:jc w:val="center"/>
              <w:rPr>
                <w:lang w:val="en-AU"/>
              </w:rPr>
            </w:pPr>
            <w:r>
              <w:rPr>
                <w:lang w:val="en-AU"/>
              </w:rPr>
              <w:t>Zoning</w:t>
            </w:r>
          </w:p>
          <w:p w:rsidR="00E12F88" w:rsidRDefault="00E12F88" w:rsidP="00E12F88">
            <w:pPr>
              <w:jc w:val="center"/>
              <w:rPr>
                <w:lang w:val="en-AU"/>
              </w:rPr>
            </w:pPr>
            <w:r>
              <w:rPr>
                <w:lang w:val="en-AU"/>
              </w:rPr>
              <w:t>Voluntary Purchase</w:t>
            </w:r>
          </w:p>
          <w:p w:rsidR="00E12F88" w:rsidRDefault="00E12F88" w:rsidP="00E12F88">
            <w:pPr>
              <w:jc w:val="center"/>
              <w:rPr>
                <w:lang w:val="en-AU"/>
              </w:rPr>
            </w:pPr>
            <w:r>
              <w:rPr>
                <w:lang w:val="en-AU"/>
              </w:rPr>
              <w:t>Voluntary House Raising</w:t>
            </w:r>
          </w:p>
          <w:p w:rsidR="00E12F88" w:rsidRDefault="00E12F88" w:rsidP="00E12F88">
            <w:pPr>
              <w:jc w:val="center"/>
              <w:rPr>
                <w:lang w:val="en-AU"/>
              </w:rPr>
            </w:pPr>
            <w:r>
              <w:rPr>
                <w:lang w:val="en-AU"/>
              </w:rPr>
              <w:t>Building &amp; Development Controls</w:t>
            </w:r>
          </w:p>
          <w:p w:rsidR="00E12F88" w:rsidRDefault="00E12F88" w:rsidP="00E12F88">
            <w:pPr>
              <w:jc w:val="center"/>
              <w:rPr>
                <w:lang w:val="en-AU"/>
              </w:rPr>
            </w:pPr>
            <w:r>
              <w:rPr>
                <w:lang w:val="en-AU"/>
              </w:rPr>
              <w:t>Flood Proofing Buildings</w:t>
            </w:r>
          </w:p>
          <w:p w:rsidR="00E12F88" w:rsidRDefault="00E12F88" w:rsidP="00E12F88">
            <w:pPr>
              <w:jc w:val="center"/>
              <w:rPr>
                <w:lang w:val="en-AU"/>
              </w:rPr>
            </w:pPr>
            <w:r>
              <w:rPr>
                <w:lang w:val="en-AU"/>
              </w:rPr>
              <w:t>Flood Access</w:t>
            </w:r>
          </w:p>
        </w:tc>
        <w:tc>
          <w:tcPr>
            <w:tcW w:w="3096" w:type="dxa"/>
          </w:tcPr>
          <w:p w:rsidR="00E12F88" w:rsidRDefault="00E12F88" w:rsidP="00E12F88">
            <w:pPr>
              <w:jc w:val="center"/>
              <w:rPr>
                <w:lang w:val="en-AU"/>
              </w:rPr>
            </w:pPr>
            <w:r>
              <w:rPr>
                <w:lang w:val="en-AU"/>
              </w:rPr>
              <w:t>Education – Awareness</w:t>
            </w:r>
          </w:p>
          <w:p w:rsidR="00E12F88" w:rsidRDefault="00E12F88" w:rsidP="00E12F88">
            <w:pPr>
              <w:jc w:val="center"/>
              <w:rPr>
                <w:lang w:val="en-AU"/>
              </w:rPr>
            </w:pPr>
            <w:r>
              <w:rPr>
                <w:lang w:val="en-AU"/>
              </w:rPr>
              <w:t>Education – Readiness</w:t>
            </w:r>
          </w:p>
          <w:p w:rsidR="00E12F88" w:rsidRDefault="00E12F88" w:rsidP="00E12F88">
            <w:pPr>
              <w:jc w:val="center"/>
              <w:rPr>
                <w:lang w:val="en-AU"/>
              </w:rPr>
            </w:pPr>
            <w:r>
              <w:rPr>
                <w:lang w:val="en-AU"/>
              </w:rPr>
              <w:t>Flood Prediction and Warning</w:t>
            </w:r>
          </w:p>
          <w:p w:rsidR="00E12F88" w:rsidRDefault="00E12F88" w:rsidP="00E12F88">
            <w:pPr>
              <w:jc w:val="center"/>
              <w:rPr>
                <w:lang w:val="en-AU"/>
              </w:rPr>
            </w:pPr>
            <w:r>
              <w:rPr>
                <w:lang w:val="en-AU"/>
              </w:rPr>
              <w:t>Local Flood Plans</w:t>
            </w:r>
          </w:p>
          <w:p w:rsidR="00E12F88" w:rsidRDefault="00E12F88" w:rsidP="00E12F88">
            <w:pPr>
              <w:jc w:val="center"/>
              <w:rPr>
                <w:lang w:val="en-AU"/>
              </w:rPr>
            </w:pPr>
            <w:r>
              <w:rPr>
                <w:lang w:val="en-AU"/>
              </w:rPr>
              <w:t>Evacuation Arrangements</w:t>
            </w:r>
          </w:p>
          <w:p w:rsidR="00E12F88" w:rsidRDefault="00E12F88" w:rsidP="00E12F88">
            <w:pPr>
              <w:jc w:val="center"/>
              <w:rPr>
                <w:lang w:val="en-AU"/>
              </w:rPr>
            </w:pPr>
            <w:r>
              <w:rPr>
                <w:lang w:val="en-AU"/>
              </w:rPr>
              <w:t>Recovery Plans</w:t>
            </w:r>
          </w:p>
        </w:tc>
        <w:tc>
          <w:tcPr>
            <w:tcW w:w="3096" w:type="dxa"/>
          </w:tcPr>
          <w:p w:rsidR="00E12F88" w:rsidRDefault="00E12F88" w:rsidP="00E12F88">
            <w:pPr>
              <w:jc w:val="center"/>
              <w:rPr>
                <w:lang w:val="en-AU"/>
              </w:rPr>
            </w:pPr>
            <w:r>
              <w:rPr>
                <w:lang w:val="en-AU"/>
              </w:rPr>
              <w:t>Flood Control Dams</w:t>
            </w:r>
          </w:p>
          <w:p w:rsidR="00E12F88" w:rsidRDefault="00E12F88" w:rsidP="00E12F88">
            <w:pPr>
              <w:jc w:val="center"/>
              <w:rPr>
                <w:lang w:val="en-AU"/>
              </w:rPr>
            </w:pPr>
            <w:r>
              <w:rPr>
                <w:lang w:val="en-AU"/>
              </w:rPr>
              <w:t>Retarding Basins</w:t>
            </w:r>
          </w:p>
          <w:p w:rsidR="00E12F88" w:rsidRDefault="00E12F88" w:rsidP="00E12F88">
            <w:pPr>
              <w:jc w:val="center"/>
              <w:rPr>
                <w:lang w:val="en-AU"/>
              </w:rPr>
            </w:pPr>
            <w:r>
              <w:rPr>
                <w:lang w:val="en-AU"/>
              </w:rPr>
              <w:t>Levees</w:t>
            </w:r>
          </w:p>
          <w:p w:rsidR="00E12F88" w:rsidRDefault="00E12F88" w:rsidP="00E12F88">
            <w:pPr>
              <w:jc w:val="center"/>
              <w:rPr>
                <w:lang w:val="en-AU"/>
              </w:rPr>
            </w:pPr>
            <w:r>
              <w:rPr>
                <w:lang w:val="en-AU"/>
              </w:rPr>
              <w:t xml:space="preserve">Bypass </w:t>
            </w:r>
            <w:proofErr w:type="spellStart"/>
            <w:r>
              <w:rPr>
                <w:lang w:val="en-AU"/>
              </w:rPr>
              <w:t>Floodways</w:t>
            </w:r>
            <w:proofErr w:type="spellEnd"/>
          </w:p>
          <w:p w:rsidR="00E12F88" w:rsidRDefault="00E12F88" w:rsidP="00E12F88">
            <w:pPr>
              <w:jc w:val="center"/>
              <w:rPr>
                <w:lang w:val="en-AU"/>
              </w:rPr>
            </w:pPr>
            <w:r>
              <w:rPr>
                <w:lang w:val="en-AU"/>
              </w:rPr>
              <w:t>Channel Improvements</w:t>
            </w:r>
          </w:p>
          <w:p w:rsidR="00E12F88" w:rsidRDefault="00E12F88" w:rsidP="00E12F88">
            <w:pPr>
              <w:jc w:val="center"/>
              <w:rPr>
                <w:lang w:val="en-AU"/>
              </w:rPr>
            </w:pPr>
            <w:r>
              <w:rPr>
                <w:lang w:val="en-AU"/>
              </w:rPr>
              <w:t>Flood Gates</w:t>
            </w:r>
          </w:p>
        </w:tc>
      </w:tr>
    </w:tbl>
    <w:p w:rsidR="001D17EF" w:rsidRPr="00392372" w:rsidRDefault="00392372" w:rsidP="00E12F88">
      <w:pPr>
        <w:rPr>
          <w:i/>
          <w:sz w:val="18"/>
          <w:szCs w:val="18"/>
          <w:lang w:val="en-AU"/>
        </w:rPr>
      </w:pPr>
      <w:bookmarkStart w:id="18" w:name="_Toc381875963"/>
      <w:r w:rsidRPr="00392372">
        <w:rPr>
          <w:i/>
          <w:sz w:val="18"/>
          <w:szCs w:val="18"/>
          <w:lang w:val="en-AU"/>
        </w:rPr>
        <w:t xml:space="preserve">Table </w:t>
      </w:r>
      <w:r w:rsidRPr="00392372">
        <w:rPr>
          <w:i/>
          <w:sz w:val="18"/>
          <w:szCs w:val="18"/>
          <w:lang w:val="en-AU"/>
        </w:rPr>
        <w:fldChar w:fldCharType="begin"/>
      </w:r>
      <w:r w:rsidRPr="00392372">
        <w:rPr>
          <w:i/>
          <w:sz w:val="18"/>
          <w:szCs w:val="18"/>
          <w:lang w:val="en-AU"/>
        </w:rPr>
        <w:instrText xml:space="preserve"> SEQ Table \* ARABIC </w:instrText>
      </w:r>
      <w:r w:rsidRPr="00392372">
        <w:rPr>
          <w:i/>
          <w:sz w:val="18"/>
          <w:szCs w:val="18"/>
          <w:lang w:val="en-AU"/>
        </w:rPr>
        <w:fldChar w:fldCharType="separate"/>
      </w:r>
      <w:r w:rsidR="004F0F6F">
        <w:rPr>
          <w:i/>
          <w:noProof/>
          <w:sz w:val="18"/>
          <w:szCs w:val="18"/>
          <w:lang w:val="en-AU"/>
        </w:rPr>
        <w:t>2</w:t>
      </w:r>
      <w:r w:rsidRPr="00392372">
        <w:rPr>
          <w:i/>
          <w:sz w:val="18"/>
          <w:szCs w:val="18"/>
          <w:lang w:val="en-AU"/>
        </w:rPr>
        <w:fldChar w:fldCharType="end"/>
      </w:r>
      <w:r w:rsidR="00D348D8">
        <w:rPr>
          <w:i/>
          <w:sz w:val="18"/>
          <w:szCs w:val="18"/>
          <w:lang w:val="en-AU"/>
        </w:rPr>
        <w:t>:</w:t>
      </w:r>
      <w:r w:rsidRPr="00392372">
        <w:rPr>
          <w:i/>
          <w:sz w:val="18"/>
          <w:szCs w:val="18"/>
          <w:lang w:val="en-AU"/>
        </w:rPr>
        <w:t xml:space="preserve"> Typical Floodplain Risk Management Measures (Source: NSW Floodplain Development Manual)</w:t>
      </w:r>
      <w:bookmarkEnd w:id="18"/>
    </w:p>
    <w:p w:rsidR="00E12F88" w:rsidRDefault="00A6207B" w:rsidP="00E12F88">
      <w:pPr>
        <w:rPr>
          <w:lang w:val="en-GB"/>
        </w:rPr>
      </w:pPr>
      <w:r>
        <w:rPr>
          <w:lang w:val="en-GB"/>
        </w:rPr>
        <w:t>Thus, a</w:t>
      </w:r>
      <w:r w:rsidR="00E12F88" w:rsidRPr="00D348D8">
        <w:rPr>
          <w:lang w:val="en-GB"/>
        </w:rPr>
        <w:t xml:space="preserve">lthough now part of the DRR milieu in Australia, DRR education (and DRR school education) receives relatively small budget and resourcing for </w:t>
      </w:r>
      <w:r w:rsidR="002D5F2D">
        <w:rPr>
          <w:lang w:val="en-GB"/>
        </w:rPr>
        <w:t xml:space="preserve">development and </w:t>
      </w:r>
      <w:r w:rsidR="00E12F88" w:rsidRPr="00D348D8">
        <w:rPr>
          <w:lang w:val="en-GB"/>
        </w:rPr>
        <w:t xml:space="preserve">implementation. </w:t>
      </w:r>
    </w:p>
    <w:p w:rsidR="00A6207B" w:rsidRPr="009D1DF6" w:rsidRDefault="00A6207B" w:rsidP="00A6207B">
      <w:pPr>
        <w:pStyle w:val="Heading2"/>
        <w:rPr>
          <w:lang w:val="en-GB"/>
        </w:rPr>
      </w:pPr>
      <w:bookmarkStart w:id="19" w:name="_Toc381875956"/>
      <w:r>
        <w:rPr>
          <w:lang w:val="en-GB"/>
        </w:rPr>
        <w:t>Comparison with the UN report</w:t>
      </w:r>
      <w:bookmarkEnd w:id="19"/>
    </w:p>
    <w:p w:rsidR="008543AA" w:rsidRDefault="008A19E3" w:rsidP="00D348D8">
      <w:pPr>
        <w:rPr>
          <w:lang w:val="en-GB"/>
        </w:rPr>
      </w:pPr>
      <w:r>
        <w:rPr>
          <w:lang w:val="en-GB"/>
        </w:rPr>
        <w:t>The findings of this research closely compare with those from</w:t>
      </w:r>
      <w:r w:rsidR="008543AA">
        <w:rPr>
          <w:lang w:val="en-GB"/>
        </w:rPr>
        <w:t xml:space="preserve"> the United Nations report</w:t>
      </w:r>
      <w:r w:rsidR="007C36CE">
        <w:rPr>
          <w:lang w:val="en-GB"/>
        </w:rPr>
        <w:t>:</w:t>
      </w:r>
      <w:r>
        <w:rPr>
          <w:lang w:val="en-GB"/>
        </w:rPr>
        <w:t xml:space="preserve"> </w:t>
      </w:r>
      <w:r w:rsidRPr="00B37972">
        <w:rPr>
          <w:i/>
          <w:lang w:val="en-GB"/>
        </w:rPr>
        <w:t>Disaster risk reduction in school curricula: case studies from thirty countries</w:t>
      </w:r>
      <w:r w:rsidRPr="00D348D8">
        <w:rPr>
          <w:lang w:val="en-GB"/>
        </w:rPr>
        <w:t xml:space="preserve"> </w:t>
      </w:r>
      <w:r>
        <w:rPr>
          <w:lang w:val="en-GB"/>
        </w:rPr>
        <w:t xml:space="preserve">(UNESCO/UNICEF, 2012). </w:t>
      </w:r>
      <w:r w:rsidR="008543AA">
        <w:rPr>
          <w:lang w:val="en-GB"/>
        </w:rPr>
        <w:t>The United Nations report found that ‘t</w:t>
      </w:r>
      <w:r w:rsidR="008543AA" w:rsidRPr="008543AA">
        <w:rPr>
          <w:lang w:val="en-GB"/>
        </w:rPr>
        <w:t>he most frequently found appr</w:t>
      </w:r>
      <w:r w:rsidR="008543AA">
        <w:rPr>
          <w:lang w:val="en-GB"/>
        </w:rPr>
        <w:t xml:space="preserve">oach to DRR integration is that </w:t>
      </w:r>
      <w:r w:rsidR="008543AA" w:rsidRPr="008543AA">
        <w:rPr>
          <w:lang w:val="en-GB"/>
        </w:rPr>
        <w:t>of infusion, i.e., disaster-rel</w:t>
      </w:r>
      <w:r w:rsidR="008543AA">
        <w:rPr>
          <w:lang w:val="en-GB"/>
        </w:rPr>
        <w:t>ated themes and topics that are woven into specifi</w:t>
      </w:r>
      <w:r w:rsidR="008543AA" w:rsidRPr="008543AA">
        <w:rPr>
          <w:lang w:val="en-GB"/>
        </w:rPr>
        <w:t>c school subjects</w:t>
      </w:r>
      <w:r w:rsidR="008543AA">
        <w:rPr>
          <w:lang w:val="en-GB"/>
        </w:rPr>
        <w:t>’</w:t>
      </w:r>
      <w:r w:rsidR="008543AA" w:rsidRPr="008543AA">
        <w:rPr>
          <w:lang w:val="en-GB"/>
        </w:rPr>
        <w:t xml:space="preserve">. </w:t>
      </w:r>
      <w:r w:rsidR="008543AA">
        <w:rPr>
          <w:lang w:val="en-GB"/>
        </w:rPr>
        <w:t>Infusion is primarily used in Australia where DRR is included in school teaching programs</w:t>
      </w:r>
      <w:r w:rsidR="002D5F2D">
        <w:rPr>
          <w:lang w:val="en-GB"/>
        </w:rPr>
        <w:t xml:space="preserve"> and supporting materials</w:t>
      </w:r>
      <w:r w:rsidR="008543AA">
        <w:rPr>
          <w:lang w:val="en-GB"/>
        </w:rPr>
        <w:t xml:space="preserve"> for different subjects that address the relevant curricula.</w:t>
      </w:r>
    </w:p>
    <w:p w:rsidR="008543AA" w:rsidRDefault="008543AA" w:rsidP="00D348D8">
      <w:pPr>
        <w:rPr>
          <w:lang w:val="en-GB"/>
        </w:rPr>
      </w:pPr>
      <w:r>
        <w:rPr>
          <w:lang w:val="en-GB"/>
        </w:rPr>
        <w:t>As noted in the United Nations report, ‘</w:t>
      </w:r>
      <w:r w:rsidRPr="008543AA">
        <w:rPr>
          <w:lang w:val="en-GB"/>
        </w:rPr>
        <w:t>DRR is, for the most part,</w:t>
      </w:r>
      <w:r>
        <w:rPr>
          <w:lang w:val="en-GB"/>
        </w:rPr>
        <w:t xml:space="preserve"> </w:t>
      </w:r>
      <w:r w:rsidRPr="008543AA">
        <w:rPr>
          <w:lang w:val="en-GB"/>
        </w:rPr>
        <w:t>integrated into a narrow band of s</w:t>
      </w:r>
      <w:r>
        <w:rPr>
          <w:lang w:val="en-GB"/>
        </w:rPr>
        <w:t xml:space="preserve">ubjects, typically the physical </w:t>
      </w:r>
      <w:r w:rsidRPr="008543AA">
        <w:rPr>
          <w:lang w:val="en-GB"/>
        </w:rPr>
        <w:t>and natural sciences</w:t>
      </w:r>
      <w:r>
        <w:rPr>
          <w:lang w:val="en-GB"/>
        </w:rPr>
        <w:t>’. As shown in Table 1, the main evidence of integration into the Australian Curriculum is in the subjects of Science and Geography. As found in the United Nations report</w:t>
      </w:r>
      <w:r w:rsidR="004F0F6F">
        <w:rPr>
          <w:lang w:val="en-GB"/>
        </w:rPr>
        <w:t>,</w:t>
      </w:r>
      <w:r>
        <w:rPr>
          <w:lang w:val="en-GB"/>
        </w:rPr>
        <w:t xml:space="preserve"> in Australi</w:t>
      </w:r>
      <w:r w:rsidR="004F0F6F">
        <w:rPr>
          <w:lang w:val="en-GB"/>
        </w:rPr>
        <w:t>a</w:t>
      </w:r>
      <w:r w:rsidR="00F74E2A">
        <w:rPr>
          <w:lang w:val="en-GB"/>
        </w:rPr>
        <w:t xml:space="preserve"> ‘there is little </w:t>
      </w:r>
      <w:proofErr w:type="gramStart"/>
      <w:r w:rsidR="00F74E2A">
        <w:rPr>
          <w:lang w:val="en-GB"/>
        </w:rPr>
        <w:t>evidence of</w:t>
      </w:r>
      <w:proofErr w:type="gramEnd"/>
      <w:r w:rsidR="00F74E2A">
        <w:rPr>
          <w:lang w:val="en-GB"/>
        </w:rPr>
        <w:t xml:space="preserve"> </w:t>
      </w:r>
      <w:r w:rsidRPr="008543AA">
        <w:rPr>
          <w:lang w:val="en-GB"/>
        </w:rPr>
        <w:t>cross-c</w:t>
      </w:r>
      <w:r>
        <w:rPr>
          <w:lang w:val="en-GB"/>
        </w:rPr>
        <w:t xml:space="preserve">urricular linkages being forged </w:t>
      </w:r>
      <w:r w:rsidRPr="008543AA">
        <w:rPr>
          <w:lang w:val="en-GB"/>
        </w:rPr>
        <w:t>nor of an interdisciplinary approa</w:t>
      </w:r>
      <w:r>
        <w:rPr>
          <w:lang w:val="en-GB"/>
        </w:rPr>
        <w:t xml:space="preserve">ch being adopted. If horizontal </w:t>
      </w:r>
      <w:r w:rsidRPr="008543AA">
        <w:rPr>
          <w:lang w:val="en-GB"/>
        </w:rPr>
        <w:t xml:space="preserve">integration is not prominent, </w:t>
      </w:r>
      <w:r>
        <w:rPr>
          <w:lang w:val="en-GB"/>
        </w:rPr>
        <w:t xml:space="preserve">neither is vertical integration </w:t>
      </w:r>
      <w:r w:rsidRPr="008543AA">
        <w:rPr>
          <w:lang w:val="en-GB"/>
        </w:rPr>
        <w:t>of DRR learning at the primary and secondary grade levels.</w:t>
      </w:r>
      <w:r>
        <w:rPr>
          <w:lang w:val="en-GB"/>
        </w:rPr>
        <w:t>’</w:t>
      </w:r>
    </w:p>
    <w:p w:rsidR="00A6207B" w:rsidRDefault="00A6207B" w:rsidP="00A6207B">
      <w:pPr>
        <w:rPr>
          <w:lang w:val="en-GB"/>
        </w:rPr>
      </w:pPr>
      <w:r>
        <w:rPr>
          <w:lang w:val="en-GB"/>
        </w:rPr>
        <w:t xml:space="preserve">In Australia, there is little evidence of the evaluation of DRR school education programs and materials by emergency agencies and the school users. This issue is also identified in the United Nations report. Without evaluation, there is no opportunity to assess the appropriateness and effectiveness of the programs and materials, and make changes. This issue has also been identified in Australia for all natural hazards EAE (Elsworth et. al., 2009), as mentioned previously. </w:t>
      </w:r>
    </w:p>
    <w:p w:rsidR="00A6207B" w:rsidRDefault="00A6207B" w:rsidP="00D348D8">
      <w:pPr>
        <w:rPr>
          <w:lang w:val="en-GB"/>
        </w:rPr>
      </w:pPr>
      <w:r>
        <w:rPr>
          <w:lang w:val="en-GB"/>
        </w:rPr>
        <w:t>There was some evidence of teacher professional development in DRR school education in Australia. For example, the NSW State Emergency Service and the Victorian Country Fire Authority provide guide books and online professional development for teachers. However, most likely as stated in the United Nations report ‘t</w:t>
      </w:r>
      <w:r w:rsidRPr="001A2865">
        <w:rPr>
          <w:lang w:val="en-GB"/>
        </w:rPr>
        <w:t>eacher professional development in DRR also needs advancing.</w:t>
      </w:r>
      <w:r>
        <w:rPr>
          <w:lang w:val="en-GB"/>
        </w:rPr>
        <w:t>’</w:t>
      </w:r>
    </w:p>
    <w:p w:rsidR="00392372" w:rsidRDefault="00392372" w:rsidP="00D348D8">
      <w:pPr>
        <w:rPr>
          <w:lang w:val="en-GB"/>
        </w:rPr>
      </w:pPr>
      <w:r w:rsidRPr="00D348D8">
        <w:rPr>
          <w:lang w:val="en-GB"/>
        </w:rPr>
        <w:lastRenderedPageBreak/>
        <w:t>Dufty (2013</w:t>
      </w:r>
      <w:r w:rsidR="00403CE7" w:rsidRPr="00D348D8">
        <w:rPr>
          <w:lang w:val="en-GB"/>
        </w:rPr>
        <w:t>, p.13</w:t>
      </w:r>
      <w:r w:rsidRPr="00D348D8">
        <w:rPr>
          <w:lang w:val="en-GB"/>
        </w:rPr>
        <w:t>) explored the range of pedagogical approaches that could be used in DRR and disaster resilience education. This range of pedagogies is shown in Table 3.</w:t>
      </w:r>
    </w:p>
    <w:p w:rsidR="00A6207B" w:rsidRPr="00392372" w:rsidRDefault="00A6207B" w:rsidP="00A6207B">
      <w:pPr>
        <w:rPr>
          <w:lang w:val="en-GB"/>
        </w:rPr>
      </w:pPr>
      <w:r w:rsidRPr="00392372">
        <w:rPr>
          <w:lang w:val="en-GB"/>
        </w:rPr>
        <w:t>The United Nations report</w:t>
      </w:r>
      <w:r>
        <w:rPr>
          <w:lang w:val="en-GB"/>
        </w:rPr>
        <w:t xml:space="preserve"> found that DRR learning was primarily in the cognitive domain and there was less evidence of affective and experiential learning. This also appears to be the case in Australia, although there were examples of gaming and role plays provided by emergency agencies. The use of social media in the classroom providing cognitive, affective and social DRR learning (Dufty, 2013) was also found in some </w:t>
      </w:r>
      <w:r>
        <w:rPr>
          <w:lang w:val="en-GB"/>
        </w:rPr>
        <w:t>states and territories</w:t>
      </w:r>
      <w:r>
        <w:rPr>
          <w:lang w:val="en-GB"/>
        </w:rPr>
        <w:t>. Schools in Australia use emergency evacuation drilling as part of the implementation of their emergency management plans.</w:t>
      </w:r>
    </w:p>
    <w:p w:rsidR="00A6207B" w:rsidRDefault="00A6207B" w:rsidP="00D348D8">
      <w:pPr>
        <w:rPr>
          <w:lang w:val="en-GB"/>
        </w:rPr>
      </w:pPr>
    </w:p>
    <w:p w:rsidR="00A6207B" w:rsidRDefault="00A6207B" w:rsidP="00D348D8">
      <w:pPr>
        <w:rPr>
          <w:lang w:val="en-GB"/>
        </w:rPr>
      </w:pPr>
    </w:p>
    <w:p w:rsidR="00A6207B" w:rsidRDefault="00A6207B" w:rsidP="00D348D8">
      <w:pPr>
        <w:rPr>
          <w:lang w:val="en-GB"/>
        </w:rPr>
      </w:pPr>
    </w:p>
    <w:p w:rsidR="00A6207B" w:rsidRDefault="00A6207B" w:rsidP="00D348D8">
      <w:pPr>
        <w:rPr>
          <w:lang w:val="en-GB"/>
        </w:rPr>
      </w:pPr>
    </w:p>
    <w:p w:rsidR="00A6207B" w:rsidRDefault="00A6207B" w:rsidP="00D348D8">
      <w:pPr>
        <w:rPr>
          <w:lang w:val="en-GB"/>
        </w:rPr>
      </w:pPr>
    </w:p>
    <w:p w:rsidR="00A6207B" w:rsidRPr="00D348D8" w:rsidRDefault="00A6207B" w:rsidP="00D348D8">
      <w:pPr>
        <w:rPr>
          <w:lang w:val="en-GB"/>
        </w:rPr>
      </w:pPr>
    </w:p>
    <w:tbl>
      <w:tblPr>
        <w:tblStyle w:val="TableGrid"/>
        <w:tblpPr w:leftFromText="180" w:rightFromText="180" w:vertAnchor="text" w:horzAnchor="margin" w:tblpY="300"/>
        <w:tblW w:w="0" w:type="auto"/>
        <w:tblLook w:val="04A0" w:firstRow="1" w:lastRow="0" w:firstColumn="1" w:lastColumn="0" w:noHBand="0" w:noVBand="1"/>
      </w:tblPr>
      <w:tblGrid>
        <w:gridCol w:w="1803"/>
        <w:gridCol w:w="2113"/>
        <w:gridCol w:w="2385"/>
        <w:gridCol w:w="2434"/>
      </w:tblGrid>
      <w:tr w:rsidR="00392372" w:rsidRPr="00392372" w:rsidTr="00392372">
        <w:tc>
          <w:tcPr>
            <w:tcW w:w="1803" w:type="dxa"/>
            <w:shd w:val="clear" w:color="auto" w:fill="auto"/>
          </w:tcPr>
          <w:p w:rsidR="00392372" w:rsidRPr="00392372" w:rsidRDefault="00392372" w:rsidP="00392372">
            <w:pPr>
              <w:jc w:val="center"/>
              <w:rPr>
                <w:b/>
                <w:lang w:val="en-AU"/>
              </w:rPr>
            </w:pPr>
            <w:r w:rsidRPr="00392372">
              <w:rPr>
                <w:b/>
                <w:lang w:val="en-AU"/>
              </w:rPr>
              <w:t xml:space="preserve">Learning </w:t>
            </w:r>
          </w:p>
        </w:tc>
        <w:tc>
          <w:tcPr>
            <w:tcW w:w="2011" w:type="dxa"/>
            <w:shd w:val="clear" w:color="auto" w:fill="auto"/>
          </w:tcPr>
          <w:p w:rsidR="00392372" w:rsidRPr="00392372" w:rsidRDefault="00392372" w:rsidP="00392372">
            <w:pPr>
              <w:jc w:val="center"/>
              <w:rPr>
                <w:b/>
                <w:lang w:val="en-AU"/>
              </w:rPr>
            </w:pPr>
            <w:r w:rsidRPr="00392372">
              <w:rPr>
                <w:b/>
                <w:lang w:val="en-AU"/>
              </w:rPr>
              <w:t>Theory/Pedagogy</w:t>
            </w:r>
          </w:p>
        </w:tc>
        <w:tc>
          <w:tcPr>
            <w:tcW w:w="2385" w:type="dxa"/>
            <w:shd w:val="clear" w:color="auto" w:fill="auto"/>
          </w:tcPr>
          <w:p w:rsidR="00392372" w:rsidRPr="00392372" w:rsidRDefault="00392372" w:rsidP="00392372">
            <w:pPr>
              <w:jc w:val="center"/>
              <w:rPr>
                <w:b/>
                <w:lang w:val="en-AU"/>
              </w:rPr>
            </w:pPr>
            <w:r w:rsidRPr="00392372">
              <w:rPr>
                <w:b/>
                <w:lang w:val="en-AU"/>
              </w:rPr>
              <w:t>Relevance</w:t>
            </w:r>
          </w:p>
        </w:tc>
        <w:tc>
          <w:tcPr>
            <w:tcW w:w="2434" w:type="dxa"/>
            <w:shd w:val="clear" w:color="auto" w:fill="auto"/>
          </w:tcPr>
          <w:p w:rsidR="00392372" w:rsidRPr="00392372" w:rsidRDefault="00D348D8" w:rsidP="00392372">
            <w:pPr>
              <w:jc w:val="center"/>
              <w:rPr>
                <w:b/>
                <w:lang w:val="en-AU"/>
              </w:rPr>
            </w:pPr>
            <w:r>
              <w:rPr>
                <w:b/>
                <w:lang w:val="en-AU"/>
              </w:rPr>
              <w:t xml:space="preserve">Some </w:t>
            </w:r>
            <w:r w:rsidR="00392372">
              <w:rPr>
                <w:b/>
                <w:lang w:val="en-AU"/>
              </w:rPr>
              <w:t xml:space="preserve">DRR </w:t>
            </w:r>
            <w:r w:rsidR="00392372" w:rsidRPr="00392372">
              <w:rPr>
                <w:b/>
                <w:lang w:val="en-AU"/>
              </w:rPr>
              <w:t>activities</w:t>
            </w:r>
          </w:p>
        </w:tc>
      </w:tr>
      <w:tr w:rsidR="00392372" w:rsidRPr="00392372" w:rsidTr="004F0F6F">
        <w:trPr>
          <w:trHeight w:val="778"/>
        </w:trPr>
        <w:tc>
          <w:tcPr>
            <w:tcW w:w="1803" w:type="dxa"/>
          </w:tcPr>
          <w:p w:rsidR="00392372" w:rsidRPr="00392372" w:rsidRDefault="00392372" w:rsidP="00392372">
            <w:pPr>
              <w:jc w:val="center"/>
              <w:rPr>
                <w:b/>
                <w:lang w:val="en-AU"/>
              </w:rPr>
            </w:pPr>
            <w:r w:rsidRPr="00392372">
              <w:rPr>
                <w:b/>
                <w:lang w:val="en-AU"/>
              </w:rPr>
              <w:t>Behavioural</w:t>
            </w:r>
          </w:p>
        </w:tc>
        <w:tc>
          <w:tcPr>
            <w:tcW w:w="2011" w:type="dxa"/>
          </w:tcPr>
          <w:p w:rsidR="00392372" w:rsidRPr="00392372" w:rsidRDefault="00392372" w:rsidP="00392372">
            <w:pPr>
              <w:jc w:val="center"/>
              <w:rPr>
                <w:lang w:val="en-AU"/>
              </w:rPr>
            </w:pPr>
            <w:r w:rsidRPr="00392372">
              <w:rPr>
                <w:lang w:val="en-AU"/>
              </w:rPr>
              <w:t>Programmed instruction</w:t>
            </w:r>
          </w:p>
        </w:tc>
        <w:tc>
          <w:tcPr>
            <w:tcW w:w="2385" w:type="dxa"/>
          </w:tcPr>
          <w:p w:rsidR="00392372" w:rsidRPr="00392372" w:rsidRDefault="00392372" w:rsidP="00392372">
            <w:pPr>
              <w:jc w:val="center"/>
              <w:rPr>
                <w:lang w:val="en-AU"/>
              </w:rPr>
            </w:pPr>
            <w:r w:rsidRPr="00392372">
              <w:rPr>
                <w:lang w:val="en-AU"/>
              </w:rPr>
              <w:t>Rehearsing behaviours required prior to a disaster</w:t>
            </w:r>
          </w:p>
        </w:tc>
        <w:tc>
          <w:tcPr>
            <w:tcW w:w="2434" w:type="dxa"/>
          </w:tcPr>
          <w:p w:rsidR="00392372" w:rsidRPr="00392372" w:rsidRDefault="00392372" w:rsidP="00392372">
            <w:pPr>
              <w:jc w:val="center"/>
              <w:rPr>
                <w:lang w:val="en-AU"/>
              </w:rPr>
            </w:pPr>
            <w:r w:rsidRPr="00392372">
              <w:rPr>
                <w:lang w:val="en-AU"/>
              </w:rPr>
              <w:t>Drilling, exercising, training</w:t>
            </w:r>
          </w:p>
        </w:tc>
      </w:tr>
      <w:tr w:rsidR="00392372" w:rsidRPr="00392372" w:rsidTr="00392372">
        <w:tc>
          <w:tcPr>
            <w:tcW w:w="1803" w:type="dxa"/>
            <w:vMerge w:val="restart"/>
          </w:tcPr>
          <w:p w:rsidR="00392372" w:rsidRPr="00392372" w:rsidRDefault="00392372" w:rsidP="00392372">
            <w:pPr>
              <w:jc w:val="center"/>
              <w:rPr>
                <w:b/>
                <w:lang w:val="en-AU"/>
              </w:rPr>
            </w:pPr>
            <w:r w:rsidRPr="00392372">
              <w:rPr>
                <w:b/>
                <w:lang w:val="en-AU"/>
              </w:rPr>
              <w:t>Cognitive</w:t>
            </w:r>
          </w:p>
        </w:tc>
        <w:tc>
          <w:tcPr>
            <w:tcW w:w="2011" w:type="dxa"/>
          </w:tcPr>
          <w:p w:rsidR="00392372" w:rsidRPr="00392372" w:rsidRDefault="00392372" w:rsidP="00392372">
            <w:pPr>
              <w:jc w:val="center"/>
              <w:rPr>
                <w:lang w:val="en-AU"/>
              </w:rPr>
            </w:pPr>
            <w:r w:rsidRPr="00392372">
              <w:rPr>
                <w:lang w:val="en-AU"/>
              </w:rPr>
              <w:t>Information processing</w:t>
            </w:r>
          </w:p>
        </w:tc>
        <w:tc>
          <w:tcPr>
            <w:tcW w:w="2385" w:type="dxa"/>
          </w:tcPr>
          <w:p w:rsidR="00392372" w:rsidRPr="00392372" w:rsidRDefault="00392372" w:rsidP="00392372">
            <w:pPr>
              <w:jc w:val="center"/>
              <w:rPr>
                <w:lang w:val="en-AU"/>
              </w:rPr>
            </w:pPr>
            <w:r w:rsidRPr="00392372">
              <w:rPr>
                <w:lang w:val="en-AU"/>
              </w:rPr>
              <w:t>Disaster information needs to be processed to trigger appropriate behaviours</w:t>
            </w:r>
          </w:p>
        </w:tc>
        <w:tc>
          <w:tcPr>
            <w:tcW w:w="2434" w:type="dxa"/>
          </w:tcPr>
          <w:p w:rsidR="00392372" w:rsidRPr="00392372" w:rsidRDefault="00392372" w:rsidP="00392372">
            <w:pPr>
              <w:jc w:val="center"/>
              <w:rPr>
                <w:lang w:val="en-AU"/>
              </w:rPr>
            </w:pPr>
            <w:r w:rsidRPr="00392372">
              <w:rPr>
                <w:lang w:val="en-AU"/>
              </w:rPr>
              <w:t>Warning messages, social media, media releases, signage, crowdsourcing</w:t>
            </w:r>
          </w:p>
        </w:tc>
      </w:tr>
      <w:tr w:rsidR="00392372" w:rsidRPr="00392372" w:rsidTr="00392372">
        <w:tc>
          <w:tcPr>
            <w:tcW w:w="1803" w:type="dxa"/>
            <w:vMerge/>
          </w:tcPr>
          <w:p w:rsidR="00392372" w:rsidRPr="00392372" w:rsidRDefault="00392372" w:rsidP="00392372">
            <w:pPr>
              <w:jc w:val="center"/>
              <w:rPr>
                <w:b/>
                <w:lang w:val="en-AU"/>
              </w:rPr>
            </w:pPr>
          </w:p>
        </w:tc>
        <w:tc>
          <w:tcPr>
            <w:tcW w:w="2011" w:type="dxa"/>
          </w:tcPr>
          <w:p w:rsidR="00392372" w:rsidRPr="00392372" w:rsidRDefault="00392372" w:rsidP="00392372">
            <w:pPr>
              <w:jc w:val="center"/>
              <w:rPr>
                <w:lang w:val="en-AU"/>
              </w:rPr>
            </w:pPr>
            <w:r w:rsidRPr="00392372">
              <w:rPr>
                <w:lang w:val="en-AU"/>
              </w:rPr>
              <w:t xml:space="preserve">Gestalt </w:t>
            </w:r>
          </w:p>
        </w:tc>
        <w:tc>
          <w:tcPr>
            <w:tcW w:w="2385" w:type="dxa"/>
          </w:tcPr>
          <w:p w:rsidR="00392372" w:rsidRPr="00392372" w:rsidRDefault="00392372" w:rsidP="00392372">
            <w:pPr>
              <w:jc w:val="center"/>
              <w:rPr>
                <w:lang w:val="en-AU"/>
              </w:rPr>
            </w:pPr>
            <w:r w:rsidRPr="00392372">
              <w:rPr>
                <w:lang w:val="en-AU"/>
              </w:rPr>
              <w:t>Risk perception, decision-making, attention, memory and problem-solving are all important requirements for appropriate disaster behaviours</w:t>
            </w:r>
          </w:p>
        </w:tc>
        <w:tc>
          <w:tcPr>
            <w:tcW w:w="2434" w:type="dxa"/>
          </w:tcPr>
          <w:p w:rsidR="00392372" w:rsidRPr="00392372" w:rsidRDefault="00392372" w:rsidP="00392372">
            <w:pPr>
              <w:jc w:val="center"/>
              <w:rPr>
                <w:lang w:val="en-AU"/>
              </w:rPr>
            </w:pPr>
            <w:r w:rsidRPr="00392372">
              <w:rPr>
                <w:lang w:val="en-AU"/>
              </w:rPr>
              <w:t>Awareness-raising documents and web sites (e.g. risk, preparedness actions), role plays related to disaster scenarios, maps</w:t>
            </w:r>
          </w:p>
        </w:tc>
      </w:tr>
      <w:tr w:rsidR="00392372" w:rsidRPr="00392372" w:rsidTr="00392372">
        <w:tc>
          <w:tcPr>
            <w:tcW w:w="1803" w:type="dxa"/>
            <w:vMerge/>
          </w:tcPr>
          <w:p w:rsidR="00392372" w:rsidRPr="00392372" w:rsidRDefault="00392372" w:rsidP="00392372">
            <w:pPr>
              <w:jc w:val="center"/>
              <w:rPr>
                <w:b/>
                <w:lang w:val="en-AU"/>
              </w:rPr>
            </w:pPr>
          </w:p>
        </w:tc>
        <w:tc>
          <w:tcPr>
            <w:tcW w:w="2011" w:type="dxa"/>
          </w:tcPr>
          <w:p w:rsidR="00392372" w:rsidRPr="00392372" w:rsidRDefault="00392372" w:rsidP="00392372">
            <w:pPr>
              <w:jc w:val="center"/>
              <w:rPr>
                <w:lang w:val="en-AU"/>
              </w:rPr>
            </w:pPr>
            <w:r w:rsidRPr="00392372">
              <w:rPr>
                <w:lang w:val="en-AU"/>
              </w:rPr>
              <w:t>Constructivist</w:t>
            </w:r>
          </w:p>
        </w:tc>
        <w:tc>
          <w:tcPr>
            <w:tcW w:w="2385" w:type="dxa"/>
          </w:tcPr>
          <w:p w:rsidR="00392372" w:rsidRPr="00392372" w:rsidRDefault="00392372" w:rsidP="00392372">
            <w:pPr>
              <w:jc w:val="center"/>
              <w:rPr>
                <w:lang w:val="en-AU"/>
              </w:rPr>
            </w:pPr>
            <w:r w:rsidRPr="00392372">
              <w:rPr>
                <w:lang w:val="en-AU"/>
              </w:rPr>
              <w:t>People construct learning from disaster information and experience</w:t>
            </w:r>
          </w:p>
        </w:tc>
        <w:tc>
          <w:tcPr>
            <w:tcW w:w="2434" w:type="dxa"/>
          </w:tcPr>
          <w:p w:rsidR="00392372" w:rsidRPr="00392372" w:rsidRDefault="00392372" w:rsidP="00392372">
            <w:pPr>
              <w:jc w:val="center"/>
              <w:rPr>
                <w:lang w:val="en-AU"/>
              </w:rPr>
            </w:pPr>
            <w:r w:rsidRPr="00392372">
              <w:rPr>
                <w:lang w:val="en-AU"/>
              </w:rPr>
              <w:t>Oral histories, social media, diaries, personal research</w:t>
            </w:r>
          </w:p>
        </w:tc>
      </w:tr>
      <w:tr w:rsidR="00392372" w:rsidRPr="00392372" w:rsidTr="00392372">
        <w:tc>
          <w:tcPr>
            <w:tcW w:w="1803" w:type="dxa"/>
            <w:vMerge w:val="restart"/>
          </w:tcPr>
          <w:p w:rsidR="00392372" w:rsidRPr="00392372" w:rsidRDefault="00392372" w:rsidP="00392372">
            <w:pPr>
              <w:jc w:val="center"/>
              <w:rPr>
                <w:b/>
                <w:lang w:val="en-AU"/>
              </w:rPr>
            </w:pPr>
            <w:r w:rsidRPr="00392372">
              <w:rPr>
                <w:b/>
                <w:lang w:val="en-AU"/>
              </w:rPr>
              <w:t>Affective</w:t>
            </w:r>
          </w:p>
        </w:tc>
        <w:tc>
          <w:tcPr>
            <w:tcW w:w="2011" w:type="dxa"/>
          </w:tcPr>
          <w:p w:rsidR="00392372" w:rsidRPr="00392372" w:rsidRDefault="00392372" w:rsidP="00392372">
            <w:pPr>
              <w:jc w:val="center"/>
              <w:rPr>
                <w:lang w:val="en-AU"/>
              </w:rPr>
            </w:pPr>
            <w:r w:rsidRPr="00392372">
              <w:rPr>
                <w:lang w:val="en-AU"/>
              </w:rPr>
              <w:t>Experiential</w:t>
            </w:r>
          </w:p>
        </w:tc>
        <w:tc>
          <w:tcPr>
            <w:tcW w:w="2385" w:type="dxa"/>
          </w:tcPr>
          <w:p w:rsidR="00392372" w:rsidRPr="00392372" w:rsidRDefault="00392372" w:rsidP="00392372">
            <w:pPr>
              <w:jc w:val="center"/>
              <w:rPr>
                <w:lang w:val="en-AU"/>
              </w:rPr>
            </w:pPr>
            <w:r w:rsidRPr="00392372">
              <w:rPr>
                <w:lang w:val="en-AU"/>
              </w:rPr>
              <w:t>Prior or learned experience is an important factor in people’s disaster preparedness and resilience</w:t>
            </w:r>
          </w:p>
        </w:tc>
        <w:tc>
          <w:tcPr>
            <w:tcW w:w="2434" w:type="dxa"/>
          </w:tcPr>
          <w:p w:rsidR="00392372" w:rsidRPr="00392372" w:rsidRDefault="00392372" w:rsidP="00392372">
            <w:pPr>
              <w:jc w:val="center"/>
              <w:rPr>
                <w:lang w:val="en-AU"/>
              </w:rPr>
            </w:pPr>
            <w:r w:rsidRPr="00392372">
              <w:rPr>
                <w:lang w:val="en-AU"/>
              </w:rPr>
              <w:t>Gaming, simulations, virtual reality training, exercising</w:t>
            </w:r>
          </w:p>
        </w:tc>
      </w:tr>
      <w:tr w:rsidR="00392372" w:rsidRPr="00392372" w:rsidTr="00392372">
        <w:tc>
          <w:tcPr>
            <w:tcW w:w="1803" w:type="dxa"/>
            <w:vMerge/>
          </w:tcPr>
          <w:p w:rsidR="00392372" w:rsidRPr="00392372" w:rsidRDefault="00392372" w:rsidP="00392372">
            <w:pPr>
              <w:jc w:val="center"/>
              <w:rPr>
                <w:b/>
                <w:lang w:val="en-AU"/>
              </w:rPr>
            </w:pPr>
          </w:p>
        </w:tc>
        <w:tc>
          <w:tcPr>
            <w:tcW w:w="2011" w:type="dxa"/>
          </w:tcPr>
          <w:p w:rsidR="00392372" w:rsidRPr="00392372" w:rsidRDefault="00392372" w:rsidP="00392372">
            <w:pPr>
              <w:jc w:val="center"/>
              <w:rPr>
                <w:lang w:val="en-AU"/>
              </w:rPr>
            </w:pPr>
            <w:r w:rsidRPr="00392372">
              <w:rPr>
                <w:lang w:val="en-AU"/>
              </w:rPr>
              <w:t>Social and emotional</w:t>
            </w:r>
          </w:p>
        </w:tc>
        <w:tc>
          <w:tcPr>
            <w:tcW w:w="2385" w:type="dxa"/>
          </w:tcPr>
          <w:p w:rsidR="00392372" w:rsidRPr="00392372" w:rsidRDefault="00392372" w:rsidP="00392372">
            <w:pPr>
              <w:jc w:val="center"/>
              <w:rPr>
                <w:lang w:val="en-AU"/>
              </w:rPr>
            </w:pPr>
            <w:r w:rsidRPr="00392372">
              <w:rPr>
                <w:lang w:val="en-AU"/>
              </w:rPr>
              <w:t>Emotional factors play an important part in people’s preparedness and resilience</w:t>
            </w:r>
          </w:p>
        </w:tc>
        <w:tc>
          <w:tcPr>
            <w:tcW w:w="2434" w:type="dxa"/>
          </w:tcPr>
          <w:p w:rsidR="00392372" w:rsidRPr="00392372" w:rsidRDefault="00392372" w:rsidP="00392372">
            <w:pPr>
              <w:jc w:val="center"/>
              <w:rPr>
                <w:lang w:val="en-AU"/>
              </w:rPr>
            </w:pPr>
            <w:r w:rsidRPr="00392372">
              <w:rPr>
                <w:lang w:val="en-AU"/>
              </w:rPr>
              <w:t>Workshops, SEL programs in schools, resilient therapy, social media, counselling</w:t>
            </w:r>
          </w:p>
        </w:tc>
      </w:tr>
      <w:tr w:rsidR="00392372" w:rsidRPr="00392372" w:rsidTr="00392372">
        <w:tc>
          <w:tcPr>
            <w:tcW w:w="1803" w:type="dxa"/>
            <w:vMerge/>
          </w:tcPr>
          <w:p w:rsidR="00392372" w:rsidRPr="00392372" w:rsidRDefault="00392372" w:rsidP="00392372">
            <w:pPr>
              <w:jc w:val="center"/>
              <w:rPr>
                <w:b/>
                <w:lang w:val="en-AU"/>
              </w:rPr>
            </w:pPr>
          </w:p>
        </w:tc>
        <w:tc>
          <w:tcPr>
            <w:tcW w:w="2011" w:type="dxa"/>
          </w:tcPr>
          <w:p w:rsidR="00392372" w:rsidRPr="00392372" w:rsidRDefault="00392372" w:rsidP="00392372">
            <w:pPr>
              <w:jc w:val="center"/>
              <w:rPr>
                <w:lang w:val="en-AU"/>
              </w:rPr>
            </w:pPr>
            <w:r w:rsidRPr="00392372">
              <w:rPr>
                <w:lang w:val="en-AU"/>
              </w:rPr>
              <w:t>Transformational</w:t>
            </w:r>
          </w:p>
        </w:tc>
        <w:tc>
          <w:tcPr>
            <w:tcW w:w="2385" w:type="dxa"/>
          </w:tcPr>
          <w:p w:rsidR="00392372" w:rsidRPr="00392372" w:rsidRDefault="00392372" w:rsidP="00392372">
            <w:pPr>
              <w:jc w:val="center"/>
              <w:rPr>
                <w:lang w:val="en-AU"/>
              </w:rPr>
            </w:pPr>
            <w:r w:rsidRPr="00392372">
              <w:rPr>
                <w:lang w:val="en-AU"/>
              </w:rPr>
              <w:t xml:space="preserve">People may need to change to prepare for future disasters </w:t>
            </w:r>
          </w:p>
        </w:tc>
        <w:tc>
          <w:tcPr>
            <w:tcW w:w="2434" w:type="dxa"/>
          </w:tcPr>
          <w:p w:rsidR="00392372" w:rsidRPr="00392372" w:rsidRDefault="00392372" w:rsidP="008C0240">
            <w:pPr>
              <w:jc w:val="center"/>
              <w:rPr>
                <w:lang w:val="en-AU"/>
              </w:rPr>
            </w:pPr>
            <w:r w:rsidRPr="00392372">
              <w:rPr>
                <w:lang w:val="en-AU"/>
              </w:rPr>
              <w:t>Role playing, disaster case studies, critical reflection</w:t>
            </w:r>
          </w:p>
        </w:tc>
      </w:tr>
      <w:tr w:rsidR="00392372" w:rsidRPr="00392372" w:rsidTr="00392372">
        <w:tc>
          <w:tcPr>
            <w:tcW w:w="1803" w:type="dxa"/>
          </w:tcPr>
          <w:p w:rsidR="00392372" w:rsidRPr="00392372" w:rsidRDefault="00392372" w:rsidP="00392372">
            <w:pPr>
              <w:jc w:val="center"/>
              <w:rPr>
                <w:b/>
                <w:lang w:val="en-AU"/>
              </w:rPr>
            </w:pPr>
            <w:r w:rsidRPr="00392372">
              <w:rPr>
                <w:b/>
                <w:lang w:val="en-AU"/>
              </w:rPr>
              <w:t>Social</w:t>
            </w:r>
          </w:p>
        </w:tc>
        <w:tc>
          <w:tcPr>
            <w:tcW w:w="2011" w:type="dxa"/>
          </w:tcPr>
          <w:p w:rsidR="00392372" w:rsidRPr="00392372" w:rsidRDefault="00392372" w:rsidP="00392372">
            <w:pPr>
              <w:jc w:val="center"/>
              <w:rPr>
                <w:lang w:val="en-AU"/>
              </w:rPr>
            </w:pPr>
            <w:r w:rsidRPr="00392372">
              <w:rPr>
                <w:lang w:val="en-AU"/>
              </w:rPr>
              <w:t>Situated learning/communities of practice</w:t>
            </w:r>
          </w:p>
        </w:tc>
        <w:tc>
          <w:tcPr>
            <w:tcW w:w="2385" w:type="dxa"/>
          </w:tcPr>
          <w:p w:rsidR="00392372" w:rsidRPr="00392372" w:rsidRDefault="00392372" w:rsidP="00392372">
            <w:pPr>
              <w:jc w:val="center"/>
              <w:rPr>
                <w:lang w:val="en-AU"/>
              </w:rPr>
            </w:pPr>
            <w:r w:rsidRPr="00392372">
              <w:rPr>
                <w:lang w:val="en-AU"/>
              </w:rPr>
              <w:t>Social capital has been shown to be a major factor in community resilience</w:t>
            </w:r>
          </w:p>
        </w:tc>
        <w:tc>
          <w:tcPr>
            <w:tcW w:w="2434" w:type="dxa"/>
          </w:tcPr>
          <w:p w:rsidR="00392372" w:rsidRPr="00392372" w:rsidRDefault="00392372" w:rsidP="00392372">
            <w:pPr>
              <w:jc w:val="center"/>
              <w:rPr>
                <w:lang w:val="en-AU"/>
              </w:rPr>
            </w:pPr>
            <w:r w:rsidRPr="00392372">
              <w:rPr>
                <w:lang w:val="en-AU"/>
              </w:rPr>
              <w:t>Social media, post-disaster community meetings, resilience forums, community engagement</w:t>
            </w:r>
          </w:p>
        </w:tc>
      </w:tr>
    </w:tbl>
    <w:p w:rsidR="00392372" w:rsidRPr="004F0F6F" w:rsidRDefault="00392372" w:rsidP="004F0F6F">
      <w:pPr>
        <w:rPr>
          <w:i/>
          <w:sz w:val="18"/>
          <w:szCs w:val="18"/>
        </w:rPr>
      </w:pPr>
      <w:bookmarkStart w:id="20" w:name="_Toc381875964"/>
      <w:r w:rsidRPr="004F0F6F">
        <w:rPr>
          <w:i/>
          <w:sz w:val="18"/>
          <w:szCs w:val="18"/>
        </w:rPr>
        <w:t xml:space="preserve">Table </w:t>
      </w:r>
      <w:r w:rsidRPr="004F0F6F">
        <w:rPr>
          <w:i/>
          <w:sz w:val="18"/>
          <w:szCs w:val="18"/>
        </w:rPr>
        <w:fldChar w:fldCharType="begin"/>
      </w:r>
      <w:r w:rsidRPr="004F0F6F">
        <w:rPr>
          <w:i/>
          <w:sz w:val="18"/>
          <w:szCs w:val="18"/>
        </w:rPr>
        <w:instrText xml:space="preserve"> SEQ Table \* ARABIC </w:instrText>
      </w:r>
      <w:r w:rsidRPr="004F0F6F">
        <w:rPr>
          <w:i/>
          <w:sz w:val="18"/>
          <w:szCs w:val="18"/>
        </w:rPr>
        <w:fldChar w:fldCharType="separate"/>
      </w:r>
      <w:r w:rsidR="004F0F6F" w:rsidRPr="004F0F6F">
        <w:rPr>
          <w:i/>
          <w:sz w:val="18"/>
          <w:szCs w:val="18"/>
        </w:rPr>
        <w:t>3</w:t>
      </w:r>
      <w:r w:rsidRPr="004F0F6F">
        <w:rPr>
          <w:i/>
          <w:sz w:val="18"/>
          <w:szCs w:val="18"/>
        </w:rPr>
        <w:fldChar w:fldCharType="end"/>
      </w:r>
      <w:r w:rsidRPr="004F0F6F">
        <w:rPr>
          <w:i/>
          <w:sz w:val="18"/>
          <w:szCs w:val="18"/>
        </w:rPr>
        <w:t> : Range of DRR pedagogies</w:t>
      </w:r>
      <w:r w:rsidR="00403CE7" w:rsidRPr="004F0F6F">
        <w:rPr>
          <w:i/>
          <w:sz w:val="18"/>
          <w:szCs w:val="18"/>
        </w:rPr>
        <w:t xml:space="preserve"> (source: Dufty, 2013)</w:t>
      </w:r>
      <w:bookmarkEnd w:id="20"/>
    </w:p>
    <w:p w:rsidR="00A6207B" w:rsidRDefault="00A6207B" w:rsidP="00A6207B">
      <w:pPr>
        <w:rPr>
          <w:lang w:val="en-GB"/>
        </w:rPr>
      </w:pPr>
      <w:bookmarkStart w:id="21" w:name="_Toc381779054"/>
      <w:r>
        <w:rPr>
          <w:lang w:val="en-GB"/>
        </w:rPr>
        <w:lastRenderedPageBreak/>
        <w:t>From the above findings and discussion, as for some other countries in the world, the HFA indicator (</w:t>
      </w:r>
      <w:r>
        <w:rPr>
          <w:lang w:val="en-AU"/>
        </w:rPr>
        <w:t xml:space="preserve">Research Area 5, Priority for Action 3 – Core Indicator 2) </w:t>
      </w:r>
      <w:r>
        <w:rPr>
          <w:lang w:val="en-GB"/>
        </w:rPr>
        <w:t>appears to still require substantial attention in Australia and should be included in the successor framework to the HFA. Better wording for the</w:t>
      </w:r>
      <w:r>
        <w:rPr>
          <w:lang w:val="en-GB"/>
        </w:rPr>
        <w:t xml:space="preserve"> indicator in the</w:t>
      </w:r>
      <w:r>
        <w:rPr>
          <w:lang w:val="en-GB"/>
        </w:rPr>
        <w:t xml:space="preserve"> HFA successor framework may be:</w:t>
      </w:r>
    </w:p>
    <w:p w:rsidR="00A6207B" w:rsidRDefault="00A6207B" w:rsidP="00A6207B">
      <w:pPr>
        <w:ind w:left="708"/>
        <w:rPr>
          <w:i/>
          <w:sz w:val="20"/>
          <w:szCs w:val="20"/>
          <w:lang w:val="en-GB"/>
        </w:rPr>
      </w:pPr>
      <w:r w:rsidRPr="001A2865">
        <w:rPr>
          <w:i/>
          <w:sz w:val="20"/>
          <w:szCs w:val="20"/>
          <w:lang w:val="en-GB"/>
        </w:rPr>
        <w:t>Disaster risk reduction concepts and practices are integrated into school curricula with supporting education material and teacher training provided.</w:t>
      </w:r>
    </w:p>
    <w:p w:rsidR="00A6207B" w:rsidRDefault="00A6207B" w:rsidP="00A6207B">
      <w:pPr>
        <w:rPr>
          <w:lang w:val="en-GB"/>
        </w:rPr>
      </w:pPr>
      <w:r w:rsidRPr="001A2865">
        <w:rPr>
          <w:lang w:val="en-GB"/>
        </w:rPr>
        <w:t>This</w:t>
      </w:r>
      <w:r>
        <w:rPr>
          <w:lang w:val="en-GB"/>
        </w:rPr>
        <w:t xml:space="preserve"> wording supports the contention that</w:t>
      </w:r>
      <w:r w:rsidRPr="001A2865">
        <w:rPr>
          <w:lang w:val="en-GB"/>
        </w:rPr>
        <w:t xml:space="preserve"> formal </w:t>
      </w:r>
      <w:r>
        <w:rPr>
          <w:lang w:val="en-GB"/>
        </w:rPr>
        <w:t xml:space="preserve">DRR </w:t>
      </w:r>
      <w:r w:rsidRPr="001A2865">
        <w:rPr>
          <w:lang w:val="en-GB"/>
        </w:rPr>
        <w:t xml:space="preserve">education </w:t>
      </w:r>
      <w:r>
        <w:rPr>
          <w:lang w:val="en-GB"/>
        </w:rPr>
        <w:t xml:space="preserve">related to </w:t>
      </w:r>
      <w:r w:rsidRPr="001A2865">
        <w:rPr>
          <w:lang w:val="en-GB"/>
        </w:rPr>
        <w:t xml:space="preserve">school curricula is most likely more effective than non-formal disaster education in </w:t>
      </w:r>
      <w:r>
        <w:rPr>
          <w:lang w:val="en-GB"/>
        </w:rPr>
        <w:t>DRR education for youth</w:t>
      </w:r>
      <w:r w:rsidRPr="001A2865">
        <w:rPr>
          <w:lang w:val="en-GB"/>
        </w:rPr>
        <w:t xml:space="preserve">. </w:t>
      </w:r>
      <w:r>
        <w:rPr>
          <w:lang w:val="en-GB"/>
        </w:rPr>
        <w:t xml:space="preserve">As </w:t>
      </w:r>
      <w:r w:rsidRPr="001A2865">
        <w:rPr>
          <w:lang w:val="en-GB"/>
        </w:rPr>
        <w:t>Dufty (2009</w:t>
      </w:r>
      <w:r>
        <w:rPr>
          <w:lang w:val="en-GB"/>
        </w:rPr>
        <w:t>,</w:t>
      </w:r>
      <w:r w:rsidRPr="001A2865">
        <w:rPr>
          <w:lang w:val="en-GB"/>
        </w:rPr>
        <w:t xml:space="preserve"> p. 15</w:t>
      </w:r>
      <w:r>
        <w:rPr>
          <w:lang w:val="en-GB"/>
        </w:rPr>
        <w:t>) contends:</w:t>
      </w:r>
    </w:p>
    <w:p w:rsidR="00A6207B" w:rsidRDefault="00A6207B" w:rsidP="00A6207B">
      <w:pPr>
        <w:ind w:left="708"/>
        <w:rPr>
          <w:lang w:val="en-GB"/>
        </w:rPr>
      </w:pPr>
      <w:r w:rsidRPr="001A2865">
        <w:rPr>
          <w:i/>
          <w:sz w:val="20"/>
          <w:szCs w:val="20"/>
          <w:lang w:val="en-GB"/>
        </w:rPr>
        <w:t>‘a critical success factor for the uptake of natural hazard activities in schools is the ability to embed these activities in existing school programs that are already linked to learning outcomes in curriculums and syllabuses. This helps to ensure that the school will accept the natural hazards program as a valid activity as part of its existing teaching program and not as a “one off”. Moreover, as a natural hazard can occur at any time, this approach will also mean that “natural hazards” will be taught each year’.</w:t>
      </w:r>
    </w:p>
    <w:p w:rsidR="009F7AE5" w:rsidRDefault="00AB31E4" w:rsidP="0003045F">
      <w:pPr>
        <w:pStyle w:val="Heading1"/>
        <w:rPr>
          <w:lang w:val="en-GB"/>
        </w:rPr>
      </w:pPr>
      <w:bookmarkStart w:id="22" w:name="_Toc381875957"/>
      <w:r>
        <w:rPr>
          <w:lang w:val="en-GB"/>
        </w:rPr>
        <w:t>Conclusion</w:t>
      </w:r>
      <w:bookmarkEnd w:id="21"/>
      <w:bookmarkEnd w:id="22"/>
    </w:p>
    <w:p w:rsidR="00B37972" w:rsidRDefault="00B37972" w:rsidP="00F74E2A">
      <w:pPr>
        <w:rPr>
          <w:lang w:val="en-GB"/>
        </w:rPr>
      </w:pPr>
      <w:r>
        <w:rPr>
          <w:lang w:val="en-GB"/>
        </w:rPr>
        <w:t>The general principle underpinning the HFA Thematic Research is that it is a retrospective review looking forward. In this spirit, this review examined changes in the integration of DRR in</w:t>
      </w:r>
      <w:r w:rsidR="00A6207B">
        <w:rPr>
          <w:lang w:val="en-GB"/>
        </w:rPr>
        <w:t>to</w:t>
      </w:r>
      <w:r>
        <w:rPr>
          <w:lang w:val="en-GB"/>
        </w:rPr>
        <w:t xml:space="preserve"> Australian curricula</w:t>
      </w:r>
      <w:r w:rsidR="002D5F2D">
        <w:rPr>
          <w:lang w:val="en-GB"/>
        </w:rPr>
        <w:t xml:space="preserve"> programs and materials</w:t>
      </w:r>
      <w:r>
        <w:rPr>
          <w:lang w:val="en-GB"/>
        </w:rPr>
        <w:t xml:space="preserve"> since 2005, the year in which the HFA commenced. </w:t>
      </w:r>
    </w:p>
    <w:p w:rsidR="00F74E2A" w:rsidRDefault="00B37972" w:rsidP="00F74E2A">
      <w:pPr>
        <w:rPr>
          <w:lang w:val="en-GB"/>
        </w:rPr>
      </w:pPr>
      <w:r>
        <w:rPr>
          <w:lang w:val="en-GB"/>
        </w:rPr>
        <w:t xml:space="preserve">The review found that over that period </w:t>
      </w:r>
      <w:r w:rsidR="002D5F2D">
        <w:rPr>
          <w:lang w:val="en-GB"/>
        </w:rPr>
        <w:t xml:space="preserve">there was </w:t>
      </w:r>
      <w:r>
        <w:rPr>
          <w:lang w:val="en-GB"/>
        </w:rPr>
        <w:t>a significant increase in the development of teaching programs and materials that were linked to Australian curricula. This trend will most likely continue as the new Australian Curriculum is developed and used in all Australian schools.</w:t>
      </w:r>
    </w:p>
    <w:p w:rsidR="00B37972" w:rsidRDefault="00B37972" w:rsidP="00F74E2A">
      <w:pPr>
        <w:rPr>
          <w:lang w:val="en-GB"/>
        </w:rPr>
      </w:pPr>
      <w:r>
        <w:rPr>
          <w:lang w:val="en-GB"/>
        </w:rPr>
        <w:lastRenderedPageBreak/>
        <w:t xml:space="preserve">There was evidence of the integration of DRR in state and territory curricula prior to the advent of the Australian Curriculum. However, the Australian Curriculum allows for a more concerted, nation-wide approach to DRR school education and this is being enhanced by initiatives such as the Disaster Resilience for Schools program including DRASEN. Due to the lobbying of </w:t>
      </w:r>
      <w:r w:rsidR="00922648">
        <w:rPr>
          <w:lang w:val="en-GB"/>
        </w:rPr>
        <w:t xml:space="preserve">the </w:t>
      </w:r>
      <w:r>
        <w:rPr>
          <w:lang w:val="en-GB"/>
        </w:rPr>
        <w:t>emergency agencies and the embedding of key messages in the National Strategy for Disaster Resilience, it appears that the Australian Curriculum has more links to DRR than the previous jurisdictional curricula.</w:t>
      </w:r>
    </w:p>
    <w:p w:rsidR="00B37972" w:rsidRDefault="00B37972" w:rsidP="00F74E2A">
      <w:pPr>
        <w:rPr>
          <w:lang w:val="en-GB"/>
        </w:rPr>
      </w:pPr>
      <w:r>
        <w:rPr>
          <w:lang w:val="en-GB"/>
        </w:rPr>
        <w:t xml:space="preserve">It should be noted that school DRR education is only one of numerous risk mitigation options used in Australia and generally has a relatively low priority and level of resourcing in the emergency and </w:t>
      </w:r>
      <w:r w:rsidR="00922648">
        <w:rPr>
          <w:lang w:val="en-GB"/>
        </w:rPr>
        <w:t xml:space="preserve">disaster </w:t>
      </w:r>
      <w:r>
        <w:rPr>
          <w:lang w:val="en-GB"/>
        </w:rPr>
        <w:t>risk management agencies across the nation. This severely constrains the development of school DRR</w:t>
      </w:r>
      <w:r w:rsidR="00A6207B">
        <w:rPr>
          <w:lang w:val="en-GB"/>
        </w:rPr>
        <w:t xml:space="preserve"> education</w:t>
      </w:r>
      <w:r>
        <w:rPr>
          <w:lang w:val="en-GB"/>
        </w:rPr>
        <w:t xml:space="preserve"> in Australia. </w:t>
      </w:r>
    </w:p>
    <w:p w:rsidR="00B37972" w:rsidRDefault="00B37972" w:rsidP="00F74E2A">
      <w:pPr>
        <w:rPr>
          <w:lang w:val="en-GB"/>
        </w:rPr>
      </w:pPr>
      <w:r>
        <w:rPr>
          <w:lang w:val="en-GB"/>
        </w:rPr>
        <w:t>Furthermore, as was found for some other countries in the United Nations report (UNESCO/UNICEF, 2012), there are several issues regarding the integration of DRR into the Australian curricula:</w:t>
      </w:r>
    </w:p>
    <w:p w:rsidR="00B37972" w:rsidRDefault="00B37972" w:rsidP="00B37972">
      <w:pPr>
        <w:pStyle w:val="ListParagraph"/>
        <w:numPr>
          <w:ilvl w:val="0"/>
          <w:numId w:val="15"/>
        </w:numPr>
        <w:rPr>
          <w:lang w:val="en-GB"/>
        </w:rPr>
      </w:pPr>
      <w:r>
        <w:rPr>
          <w:lang w:val="en-GB"/>
        </w:rPr>
        <w:t>Tendency to use infusion as the only approach to DRR integration.</w:t>
      </w:r>
    </w:p>
    <w:p w:rsidR="00B37972" w:rsidRDefault="00B37972" w:rsidP="00B37972">
      <w:pPr>
        <w:pStyle w:val="ListParagraph"/>
        <w:numPr>
          <w:ilvl w:val="0"/>
          <w:numId w:val="15"/>
        </w:numPr>
        <w:rPr>
          <w:lang w:val="en-GB"/>
        </w:rPr>
      </w:pPr>
      <w:r>
        <w:rPr>
          <w:lang w:val="en-GB"/>
        </w:rPr>
        <w:t>DRR learning was mainly in the cognitive domain, with little done in the affective and social domains.</w:t>
      </w:r>
    </w:p>
    <w:p w:rsidR="00B37972" w:rsidRDefault="00B37972" w:rsidP="00B37972">
      <w:pPr>
        <w:pStyle w:val="ListParagraph"/>
        <w:numPr>
          <w:ilvl w:val="0"/>
          <w:numId w:val="15"/>
        </w:numPr>
        <w:rPr>
          <w:lang w:val="en-GB"/>
        </w:rPr>
      </w:pPr>
      <w:r>
        <w:rPr>
          <w:lang w:val="en-GB"/>
        </w:rPr>
        <w:t xml:space="preserve">There was little evidence of evaluation and assessment of DRR education programs and </w:t>
      </w:r>
      <w:r w:rsidR="002D5F2D">
        <w:rPr>
          <w:lang w:val="en-GB"/>
        </w:rPr>
        <w:t xml:space="preserve">materials </w:t>
      </w:r>
      <w:r>
        <w:rPr>
          <w:lang w:val="en-GB"/>
        </w:rPr>
        <w:t xml:space="preserve">including those linked </w:t>
      </w:r>
      <w:r w:rsidR="002D5F2D">
        <w:rPr>
          <w:lang w:val="en-GB"/>
        </w:rPr>
        <w:t>to</w:t>
      </w:r>
      <w:r>
        <w:rPr>
          <w:lang w:val="en-GB"/>
        </w:rPr>
        <w:t xml:space="preserve"> Australian curricula.</w:t>
      </w:r>
    </w:p>
    <w:p w:rsidR="00B37972" w:rsidRDefault="00B37972" w:rsidP="00B37972">
      <w:pPr>
        <w:pStyle w:val="ListParagraph"/>
        <w:numPr>
          <w:ilvl w:val="0"/>
          <w:numId w:val="15"/>
        </w:numPr>
        <w:rPr>
          <w:lang w:val="en-GB"/>
        </w:rPr>
      </w:pPr>
      <w:r>
        <w:rPr>
          <w:lang w:val="en-GB"/>
        </w:rPr>
        <w:t xml:space="preserve">There was some evidence of teacher professional development in DRR education but more activity could be provided in this training. </w:t>
      </w:r>
    </w:p>
    <w:p w:rsidR="00D67443" w:rsidRPr="00B37972" w:rsidRDefault="00922648" w:rsidP="00B37972">
      <w:pPr>
        <w:rPr>
          <w:rStyle w:val="Heading2Char"/>
          <w:rFonts w:eastAsia="Calibri"/>
          <w:b w:val="0"/>
          <w:sz w:val="22"/>
          <w:szCs w:val="22"/>
          <w:lang w:val="en-GB"/>
        </w:rPr>
      </w:pPr>
      <w:r>
        <w:rPr>
          <w:lang w:val="en-GB"/>
        </w:rPr>
        <w:t>From this</w:t>
      </w:r>
      <w:r w:rsidR="00B37972">
        <w:rPr>
          <w:lang w:val="en-GB"/>
        </w:rPr>
        <w:t xml:space="preserve"> research, further work is required in Australia in relation to the DRR </w:t>
      </w:r>
      <w:r w:rsidR="002D5F2D">
        <w:rPr>
          <w:lang w:val="en-GB"/>
        </w:rPr>
        <w:t xml:space="preserve">school </w:t>
      </w:r>
      <w:r w:rsidR="00B37972">
        <w:rPr>
          <w:lang w:val="en-GB"/>
        </w:rPr>
        <w:t>education HFA indicator, with revised wording suggested for the indicator in the HFA successor framework.</w:t>
      </w:r>
    </w:p>
    <w:p w:rsidR="00734EB6" w:rsidRDefault="00734EB6" w:rsidP="0003045F">
      <w:pPr>
        <w:pStyle w:val="Heading1"/>
        <w:rPr>
          <w:lang w:val="en-GB"/>
        </w:rPr>
      </w:pPr>
      <w:bookmarkStart w:id="23" w:name="_Toc381779055"/>
      <w:bookmarkStart w:id="24" w:name="_Toc381875958"/>
      <w:r>
        <w:rPr>
          <w:lang w:val="en-GB"/>
        </w:rPr>
        <w:t>References</w:t>
      </w:r>
      <w:bookmarkEnd w:id="23"/>
      <w:bookmarkEnd w:id="24"/>
    </w:p>
    <w:p w:rsidR="00734EB6" w:rsidRPr="000C19BB" w:rsidRDefault="000C19BB" w:rsidP="0003045F">
      <w:pPr>
        <w:rPr>
          <w:rFonts w:cs="Tahoma"/>
          <w:lang w:val="en-GB"/>
        </w:rPr>
      </w:pPr>
      <w:proofErr w:type="gramStart"/>
      <w:r w:rsidRPr="000C19BB">
        <w:rPr>
          <w:rFonts w:cs="Tahoma"/>
          <w:lang w:val="en-GB"/>
        </w:rPr>
        <w:t>CSIRO and Australian Bureau of Mete</w:t>
      </w:r>
      <w:r>
        <w:rPr>
          <w:rFonts w:cs="Tahoma"/>
          <w:lang w:val="en-GB"/>
        </w:rPr>
        <w:t>o</w:t>
      </w:r>
      <w:r w:rsidRPr="000C19BB">
        <w:rPr>
          <w:rFonts w:cs="Tahoma"/>
          <w:lang w:val="en-GB"/>
        </w:rPr>
        <w:t>rology</w:t>
      </w:r>
      <w:r>
        <w:rPr>
          <w:rFonts w:cs="Tahoma"/>
          <w:lang w:val="en-GB"/>
        </w:rPr>
        <w:t>.</w:t>
      </w:r>
      <w:proofErr w:type="gramEnd"/>
      <w:r>
        <w:rPr>
          <w:rFonts w:cs="Tahoma"/>
          <w:lang w:val="en-GB"/>
        </w:rPr>
        <w:t xml:space="preserve"> 2014. </w:t>
      </w:r>
      <w:r w:rsidRPr="000C19BB">
        <w:rPr>
          <w:rFonts w:cs="Tahoma"/>
          <w:i/>
          <w:lang w:val="en-GB"/>
        </w:rPr>
        <w:t>State of the Climate 2014</w:t>
      </w:r>
      <w:r>
        <w:rPr>
          <w:rFonts w:cs="Tahoma"/>
          <w:lang w:val="en-GB"/>
        </w:rPr>
        <w:t xml:space="preserve">. </w:t>
      </w:r>
      <w:r w:rsidR="00F62521">
        <w:rPr>
          <w:rFonts w:cs="Tahoma"/>
          <w:lang w:val="en-GB"/>
        </w:rPr>
        <w:t xml:space="preserve">Canberra: </w:t>
      </w:r>
      <w:r>
        <w:rPr>
          <w:rFonts w:cs="Tahoma"/>
          <w:lang w:val="en-GB"/>
        </w:rPr>
        <w:t>Commonwealth of Australia.</w:t>
      </w:r>
    </w:p>
    <w:p w:rsidR="00734EB6" w:rsidRDefault="000C19BB" w:rsidP="0003045F">
      <w:pPr>
        <w:rPr>
          <w:rFonts w:cs="Tahoma"/>
          <w:lang w:val="en-GB"/>
        </w:rPr>
      </w:pPr>
      <w:r w:rsidRPr="000C19BB">
        <w:rPr>
          <w:rFonts w:cs="Tahoma"/>
          <w:lang w:val="en-GB"/>
        </w:rPr>
        <w:t xml:space="preserve">Davie, S. 2013. </w:t>
      </w:r>
      <w:r w:rsidRPr="000C19BB">
        <w:rPr>
          <w:rFonts w:cs="Tahoma"/>
          <w:i/>
          <w:lang w:val="en-GB"/>
        </w:rPr>
        <w:t>Don’t leave me alone: Protecting Children in Australian Disasters and Emergencies</w:t>
      </w:r>
      <w:r w:rsidRPr="000C19BB">
        <w:rPr>
          <w:rFonts w:cs="Tahoma"/>
          <w:lang w:val="en-GB"/>
        </w:rPr>
        <w:t xml:space="preserve">. </w:t>
      </w:r>
      <w:proofErr w:type="gramStart"/>
      <w:r>
        <w:rPr>
          <w:rFonts w:cs="Tahoma"/>
          <w:lang w:val="en-GB"/>
        </w:rPr>
        <w:t xml:space="preserve">Government Report Card on Emergency Management Planning, </w:t>
      </w:r>
      <w:r w:rsidRPr="000C19BB">
        <w:rPr>
          <w:rFonts w:cs="Tahoma"/>
          <w:lang w:val="en-GB"/>
        </w:rPr>
        <w:t>Save the Children Australia.</w:t>
      </w:r>
      <w:proofErr w:type="gramEnd"/>
    </w:p>
    <w:p w:rsidR="00647921" w:rsidRPr="00647921" w:rsidRDefault="00647921" w:rsidP="00647921">
      <w:pPr>
        <w:outlineLvl w:val="0"/>
        <w:rPr>
          <w:rFonts w:ascii="Arial" w:hAnsi="Arial" w:cs="Arial"/>
          <w:i/>
          <w:lang w:val="en-AU"/>
        </w:rPr>
      </w:pPr>
      <w:bookmarkStart w:id="25" w:name="_Toc381875959"/>
      <w:proofErr w:type="gramStart"/>
      <w:r>
        <w:rPr>
          <w:lang w:val="en-GB"/>
        </w:rPr>
        <w:t>Department of Infrastructure, Planning and Natural Resources.</w:t>
      </w:r>
      <w:proofErr w:type="gramEnd"/>
      <w:r>
        <w:rPr>
          <w:lang w:val="en-GB"/>
        </w:rPr>
        <w:t xml:space="preserve"> 2005. </w:t>
      </w:r>
      <w:r w:rsidRPr="0060679C">
        <w:rPr>
          <w:i/>
          <w:lang w:val="en-GB"/>
        </w:rPr>
        <w:t>Floodplain Development Manual</w:t>
      </w:r>
      <w:r>
        <w:rPr>
          <w:lang w:val="en-GB"/>
        </w:rPr>
        <w:t>. Sydney: NSW Government.</w:t>
      </w:r>
      <w:bookmarkEnd w:id="25"/>
    </w:p>
    <w:p w:rsidR="00647921" w:rsidRDefault="00647921" w:rsidP="0003045F">
      <w:pPr>
        <w:rPr>
          <w:rFonts w:cs="Tahoma"/>
          <w:lang w:val="en-GB"/>
        </w:rPr>
      </w:pPr>
      <w:proofErr w:type="gramStart"/>
      <w:r>
        <w:rPr>
          <w:rFonts w:cs="Tahoma"/>
          <w:lang w:val="en-GB"/>
        </w:rPr>
        <w:t>Department of Transport and Regional Services.</w:t>
      </w:r>
      <w:proofErr w:type="gramEnd"/>
      <w:r>
        <w:rPr>
          <w:rFonts w:cs="Tahoma"/>
          <w:lang w:val="en-GB"/>
        </w:rPr>
        <w:t xml:space="preserve"> 2004. </w:t>
      </w:r>
      <w:r w:rsidRPr="00012D33">
        <w:rPr>
          <w:rFonts w:cs="Tahoma"/>
          <w:i/>
          <w:lang w:val="en-GB"/>
        </w:rPr>
        <w:t>Natural Disasters in Australia: Reforming mitigation, relief and recovery arrangements</w:t>
      </w:r>
      <w:r>
        <w:rPr>
          <w:rFonts w:cs="Tahoma"/>
          <w:lang w:val="en-GB"/>
        </w:rPr>
        <w:t>. Canberra: Commonwealth of Australia.</w:t>
      </w:r>
    </w:p>
    <w:p w:rsidR="002B633A" w:rsidRDefault="00647921" w:rsidP="0003045F">
      <w:pPr>
        <w:rPr>
          <w:lang w:val="en-AU"/>
        </w:rPr>
      </w:pPr>
      <w:proofErr w:type="gramStart"/>
      <w:r w:rsidRPr="00647921">
        <w:rPr>
          <w:lang w:val="en-AU"/>
        </w:rPr>
        <w:t>dk2</w:t>
      </w:r>
      <w:proofErr w:type="gramEnd"/>
      <w:r w:rsidRPr="00647921">
        <w:rPr>
          <w:lang w:val="en-AU"/>
        </w:rPr>
        <w:t xml:space="preserve"> Pty Ltd Australia. 2013. </w:t>
      </w:r>
      <w:r w:rsidRPr="002B633A">
        <w:rPr>
          <w:i/>
          <w:lang w:val="en-AU"/>
        </w:rPr>
        <w:t>Mapping of disaster resilience education resources against the Australian Curriculum</w:t>
      </w:r>
      <w:r w:rsidRPr="002B633A">
        <w:rPr>
          <w:lang w:val="en-AU"/>
        </w:rPr>
        <w:t>.</w:t>
      </w:r>
      <w:r w:rsidRPr="00647921">
        <w:rPr>
          <w:lang w:val="en-AU"/>
        </w:rPr>
        <w:t xml:space="preserve"> </w:t>
      </w:r>
      <w:proofErr w:type="gramStart"/>
      <w:r w:rsidRPr="00647921">
        <w:rPr>
          <w:lang w:val="en-AU"/>
        </w:rPr>
        <w:t>National Emergency Management Project - Educating the Educators.</w:t>
      </w:r>
      <w:proofErr w:type="gramEnd"/>
      <w:r w:rsidRPr="00647921">
        <w:rPr>
          <w:lang w:val="en-AU"/>
        </w:rPr>
        <w:t xml:space="preserve"> Report written for the Attorney-General’s Department and the Australian Red Cross.</w:t>
      </w:r>
    </w:p>
    <w:p w:rsidR="00647921" w:rsidRPr="00647921" w:rsidRDefault="00647921" w:rsidP="0003045F">
      <w:pPr>
        <w:rPr>
          <w:lang w:val="en-AU"/>
        </w:rPr>
      </w:pPr>
      <w:proofErr w:type="gramStart"/>
      <w:r>
        <w:rPr>
          <w:lang w:val="en-AU"/>
        </w:rPr>
        <w:t>Dufty, N.</w:t>
      </w:r>
      <w:r w:rsidRPr="00012D33">
        <w:rPr>
          <w:lang w:val="en-AU"/>
        </w:rPr>
        <w:t xml:space="preserve"> 2008.</w:t>
      </w:r>
      <w:proofErr w:type="gramEnd"/>
      <w:r w:rsidRPr="00012D33">
        <w:rPr>
          <w:lang w:val="en-AU"/>
        </w:rPr>
        <w:t xml:space="preserve"> </w:t>
      </w:r>
      <w:proofErr w:type="gramStart"/>
      <w:r w:rsidRPr="00012D33">
        <w:rPr>
          <w:lang w:val="en-AU"/>
        </w:rPr>
        <w:t>A new approach to community flood education.</w:t>
      </w:r>
      <w:proofErr w:type="gramEnd"/>
      <w:r w:rsidRPr="00012D33">
        <w:rPr>
          <w:lang w:val="en-AU"/>
        </w:rPr>
        <w:t xml:space="preserve"> </w:t>
      </w:r>
      <w:r w:rsidRPr="002B633A">
        <w:rPr>
          <w:i/>
          <w:lang w:val="en-AU"/>
        </w:rPr>
        <w:t>Australian Journal of Emergency Management</w:t>
      </w:r>
      <w:r w:rsidRPr="002B633A">
        <w:rPr>
          <w:lang w:val="en-AU"/>
        </w:rPr>
        <w:t>,</w:t>
      </w:r>
      <w:r w:rsidRPr="00012D33">
        <w:rPr>
          <w:lang w:val="en-AU"/>
        </w:rPr>
        <w:t xml:space="preserve"> Vol. 23, </w:t>
      </w:r>
      <w:r w:rsidRPr="00012D33">
        <w:rPr>
          <w:lang w:val="en-AU"/>
        </w:rPr>
        <w:t>Issue 2:</w:t>
      </w:r>
      <w:r w:rsidRPr="00012D33">
        <w:rPr>
          <w:lang w:val="en-AU"/>
        </w:rPr>
        <w:t xml:space="preserve"> </w:t>
      </w:r>
      <w:r>
        <w:rPr>
          <w:lang w:val="en-AU"/>
        </w:rPr>
        <w:t>3-7.</w:t>
      </w:r>
    </w:p>
    <w:p w:rsidR="00647921" w:rsidRDefault="00647921" w:rsidP="00647921">
      <w:pPr>
        <w:outlineLvl w:val="0"/>
        <w:rPr>
          <w:rFonts w:cs="Tahoma"/>
          <w:lang w:val="en-AU"/>
        </w:rPr>
      </w:pPr>
      <w:bookmarkStart w:id="26" w:name="_Toc381875960"/>
      <w:proofErr w:type="gramStart"/>
      <w:r w:rsidRPr="00F62521">
        <w:rPr>
          <w:rFonts w:cs="Tahoma"/>
          <w:lang w:val="en-AU"/>
        </w:rPr>
        <w:t>Dufty, N</w:t>
      </w:r>
      <w:r w:rsidRPr="00F62521">
        <w:rPr>
          <w:rFonts w:cs="Tahoma"/>
          <w:lang w:val="en-AU"/>
        </w:rPr>
        <w:t>.</w:t>
      </w:r>
      <w:r w:rsidRPr="00F62521">
        <w:rPr>
          <w:rFonts w:cs="Tahoma"/>
          <w:lang w:val="en-AU"/>
        </w:rPr>
        <w:t xml:space="preserve"> 2009</w:t>
      </w:r>
      <w:r w:rsidRPr="00F62521">
        <w:rPr>
          <w:rFonts w:cs="Tahoma"/>
          <w:lang w:val="en-AU"/>
        </w:rPr>
        <w:t>.</w:t>
      </w:r>
      <w:proofErr w:type="gramEnd"/>
      <w:r w:rsidRPr="00F62521">
        <w:rPr>
          <w:rFonts w:cs="Tahoma"/>
          <w:lang w:val="en-AU"/>
        </w:rPr>
        <w:t xml:space="preserve"> Natural hazards education in Australian schools: How can we make it more effective? </w:t>
      </w:r>
      <w:r w:rsidRPr="00F62521">
        <w:rPr>
          <w:rFonts w:cs="Tahoma"/>
          <w:i/>
          <w:lang w:val="en-AU"/>
        </w:rPr>
        <w:t>Australian Journal of Emergency Management</w:t>
      </w:r>
      <w:r>
        <w:rPr>
          <w:rFonts w:cs="Tahoma"/>
          <w:i/>
          <w:lang w:val="en-AU"/>
        </w:rPr>
        <w:t xml:space="preserve">, </w:t>
      </w:r>
      <w:r w:rsidRPr="00F62521">
        <w:rPr>
          <w:rFonts w:cs="Tahoma"/>
          <w:lang w:val="en-AU"/>
        </w:rPr>
        <w:t xml:space="preserve">Vol. 24, </w:t>
      </w:r>
      <w:r>
        <w:rPr>
          <w:rFonts w:cs="Tahoma"/>
          <w:lang w:val="en-AU"/>
        </w:rPr>
        <w:t>Issue</w:t>
      </w:r>
      <w:r w:rsidRPr="00F62521">
        <w:rPr>
          <w:rFonts w:cs="Tahoma"/>
          <w:lang w:val="en-AU"/>
        </w:rPr>
        <w:t xml:space="preserve"> 2:</w:t>
      </w:r>
      <w:r w:rsidRPr="00F62521">
        <w:rPr>
          <w:rFonts w:cs="Tahoma"/>
          <w:lang w:val="en-AU"/>
        </w:rPr>
        <w:t xml:space="preserve"> 13-16.</w:t>
      </w:r>
      <w:bookmarkEnd w:id="26"/>
    </w:p>
    <w:p w:rsidR="00647921" w:rsidRPr="00E2478A" w:rsidRDefault="00647921" w:rsidP="00647921">
      <w:pPr>
        <w:outlineLvl w:val="0"/>
        <w:rPr>
          <w:rFonts w:cs="Tahoma"/>
          <w:i/>
          <w:lang w:val="en-AU"/>
        </w:rPr>
      </w:pPr>
      <w:bookmarkStart w:id="27" w:name="_Toc381875961"/>
      <w:proofErr w:type="gramStart"/>
      <w:r w:rsidRPr="00E2478A">
        <w:rPr>
          <w:rFonts w:cs="Tahoma"/>
          <w:lang w:val="en-AU"/>
        </w:rPr>
        <w:t>Dufty, N</w:t>
      </w:r>
      <w:r w:rsidRPr="00E2478A">
        <w:rPr>
          <w:rFonts w:cs="Tahoma"/>
          <w:lang w:val="en-AU"/>
        </w:rPr>
        <w:t>.</w:t>
      </w:r>
      <w:r w:rsidRPr="00E2478A">
        <w:rPr>
          <w:rFonts w:cs="Tahoma"/>
          <w:lang w:val="en-AU"/>
        </w:rPr>
        <w:t xml:space="preserve"> 2013</w:t>
      </w:r>
      <w:r w:rsidRPr="00E2478A">
        <w:rPr>
          <w:rFonts w:cs="Tahoma"/>
          <w:lang w:val="en-AU"/>
        </w:rPr>
        <w:t>.</w:t>
      </w:r>
      <w:proofErr w:type="gramEnd"/>
      <w:r w:rsidRPr="00E2478A">
        <w:rPr>
          <w:rFonts w:cs="Tahoma"/>
          <w:lang w:val="en-AU"/>
        </w:rPr>
        <w:t xml:space="preserve"> </w:t>
      </w:r>
      <w:r w:rsidRPr="00E2478A">
        <w:rPr>
          <w:rFonts w:cs="Tahoma"/>
          <w:i/>
          <w:lang w:val="en-AU"/>
        </w:rPr>
        <w:t xml:space="preserve">Towards </w:t>
      </w:r>
      <w:proofErr w:type="gramStart"/>
      <w:r w:rsidRPr="00E2478A">
        <w:rPr>
          <w:rFonts w:cs="Tahoma"/>
          <w:i/>
          <w:lang w:val="en-AU"/>
        </w:rPr>
        <w:t>a Learning</w:t>
      </w:r>
      <w:proofErr w:type="gramEnd"/>
      <w:r w:rsidRPr="00E2478A">
        <w:rPr>
          <w:rFonts w:cs="Tahoma"/>
          <w:i/>
          <w:lang w:val="en-AU"/>
        </w:rPr>
        <w:t xml:space="preserve"> for Disaster Resilience Approach: exploring content and process. </w:t>
      </w:r>
      <w:proofErr w:type="gramStart"/>
      <w:r w:rsidRPr="00E2478A">
        <w:rPr>
          <w:rFonts w:cs="Tahoma"/>
          <w:lang w:val="en-AU"/>
        </w:rPr>
        <w:t>Molino Stewart occasional papers.</w:t>
      </w:r>
      <w:proofErr w:type="gramEnd"/>
      <w:r w:rsidRPr="00E2478A">
        <w:rPr>
          <w:rFonts w:cs="Tahoma"/>
          <w:lang w:val="en-AU"/>
        </w:rPr>
        <w:t xml:space="preserve"> At: </w:t>
      </w:r>
      <w:hyperlink r:id="rId13" w:history="1">
        <w:r w:rsidRPr="00E2478A">
          <w:rPr>
            <w:rStyle w:val="Hyperlink"/>
            <w:rFonts w:cs="Tahoma"/>
            <w:lang w:val="en-AU"/>
          </w:rPr>
          <w:t>http://w</w:t>
        </w:r>
        <w:r w:rsidRPr="00E2478A">
          <w:rPr>
            <w:rStyle w:val="Hyperlink"/>
            <w:rFonts w:cs="Tahoma"/>
            <w:lang w:val="en-AU"/>
          </w:rPr>
          <w:t>orks.bepress.com/neil_dufty/29/</w:t>
        </w:r>
        <w:bookmarkEnd w:id="27"/>
      </w:hyperlink>
    </w:p>
    <w:p w:rsidR="00647921" w:rsidRDefault="00647921" w:rsidP="00647921">
      <w:pPr>
        <w:pStyle w:val="Default"/>
        <w:jc w:val="both"/>
        <w:rPr>
          <w:rFonts w:ascii="Tahoma" w:hAnsi="Tahoma" w:cs="Times New Roman"/>
          <w:color w:val="auto"/>
          <w:sz w:val="22"/>
          <w:szCs w:val="22"/>
          <w:lang w:eastAsia="en-US"/>
        </w:rPr>
      </w:pPr>
      <w:proofErr w:type="gramStart"/>
      <w:r w:rsidRPr="00721D96">
        <w:rPr>
          <w:rFonts w:ascii="Tahoma" w:hAnsi="Tahoma" w:cs="Times New Roman"/>
          <w:color w:val="auto"/>
          <w:sz w:val="22"/>
          <w:szCs w:val="22"/>
          <w:lang w:eastAsia="en-US"/>
        </w:rPr>
        <w:t>Dufty, N. 2014.</w:t>
      </w:r>
      <w:proofErr w:type="gramEnd"/>
      <w:r w:rsidRPr="00721D96">
        <w:rPr>
          <w:rFonts w:ascii="Tahoma" w:hAnsi="Tahoma" w:cs="Times New Roman"/>
          <w:color w:val="auto"/>
          <w:sz w:val="22"/>
          <w:szCs w:val="22"/>
          <w:lang w:eastAsia="en-US"/>
        </w:rPr>
        <w:t xml:space="preserve"> </w:t>
      </w:r>
      <w:proofErr w:type="gramStart"/>
      <w:r w:rsidRPr="00721D96">
        <w:rPr>
          <w:rFonts w:ascii="Tahoma" w:hAnsi="Tahoma" w:cs="Times New Roman"/>
          <w:color w:val="auto"/>
          <w:sz w:val="22"/>
          <w:szCs w:val="22"/>
          <w:lang w:eastAsia="en-US"/>
        </w:rPr>
        <w:t>Opportunities for disaster resilience learning in the Australian curriculum.</w:t>
      </w:r>
      <w:proofErr w:type="gramEnd"/>
      <w:r w:rsidRPr="00721D96">
        <w:rPr>
          <w:rFonts w:ascii="Tahoma" w:hAnsi="Tahoma" w:cs="Times New Roman"/>
          <w:color w:val="auto"/>
          <w:sz w:val="22"/>
          <w:szCs w:val="22"/>
          <w:lang w:eastAsia="en-US"/>
        </w:rPr>
        <w:t xml:space="preserve"> </w:t>
      </w:r>
      <w:r w:rsidRPr="00721D96">
        <w:rPr>
          <w:rFonts w:ascii="Tahoma" w:hAnsi="Tahoma" w:cs="Times New Roman"/>
          <w:i/>
          <w:color w:val="auto"/>
          <w:sz w:val="22"/>
          <w:szCs w:val="22"/>
          <w:lang w:eastAsia="en-US"/>
        </w:rPr>
        <w:t>Australian Journal of Emergency Management</w:t>
      </w:r>
      <w:r w:rsidRPr="00721D96">
        <w:rPr>
          <w:rFonts w:ascii="Tahoma" w:hAnsi="Tahoma" w:cs="Times New Roman"/>
          <w:color w:val="auto"/>
          <w:sz w:val="22"/>
          <w:szCs w:val="22"/>
          <w:lang w:eastAsia="en-US"/>
        </w:rPr>
        <w:t>, Vol. 29, Issue 1: 12-16</w:t>
      </w:r>
      <w:r>
        <w:rPr>
          <w:rFonts w:ascii="Tahoma" w:hAnsi="Tahoma" w:cs="Times New Roman"/>
          <w:color w:val="auto"/>
          <w:sz w:val="22"/>
          <w:szCs w:val="22"/>
          <w:lang w:eastAsia="en-US"/>
        </w:rPr>
        <w:t>.</w:t>
      </w:r>
    </w:p>
    <w:p w:rsidR="00647921" w:rsidRPr="00647921" w:rsidRDefault="00647921" w:rsidP="00647921">
      <w:pPr>
        <w:pStyle w:val="Default"/>
        <w:jc w:val="both"/>
        <w:rPr>
          <w:rFonts w:ascii="Tahoma" w:hAnsi="Tahoma" w:cs="Times New Roman"/>
          <w:color w:val="auto"/>
          <w:sz w:val="22"/>
          <w:szCs w:val="22"/>
          <w:lang w:eastAsia="en-US"/>
        </w:rPr>
      </w:pPr>
    </w:p>
    <w:p w:rsidR="00647921" w:rsidRDefault="00647921" w:rsidP="00647921">
      <w:r>
        <w:t xml:space="preserve">Ellis, S., </w:t>
      </w:r>
      <w:r>
        <w:t xml:space="preserve">P. </w:t>
      </w:r>
      <w:proofErr w:type="spellStart"/>
      <w:r>
        <w:t>Kanowski</w:t>
      </w:r>
      <w:proofErr w:type="spellEnd"/>
      <w:r>
        <w:t xml:space="preserve">, and </w:t>
      </w:r>
      <w:r>
        <w:t>R. Whelan. 2004.</w:t>
      </w:r>
      <w:r>
        <w:t xml:space="preserve"> </w:t>
      </w:r>
      <w:r w:rsidRPr="0042150E">
        <w:rPr>
          <w:i/>
        </w:rPr>
        <w:t xml:space="preserve">National </w:t>
      </w:r>
      <w:proofErr w:type="spellStart"/>
      <w:r w:rsidRPr="0042150E">
        <w:rPr>
          <w:i/>
        </w:rPr>
        <w:t>Inquiry</w:t>
      </w:r>
      <w:proofErr w:type="spellEnd"/>
      <w:r w:rsidRPr="0042150E">
        <w:rPr>
          <w:i/>
        </w:rPr>
        <w:t xml:space="preserve"> on </w:t>
      </w:r>
      <w:proofErr w:type="spellStart"/>
      <w:r w:rsidRPr="0042150E">
        <w:rPr>
          <w:i/>
        </w:rPr>
        <w:t>Bushfire</w:t>
      </w:r>
      <w:proofErr w:type="spellEnd"/>
      <w:r w:rsidRPr="0042150E">
        <w:rPr>
          <w:i/>
        </w:rPr>
        <w:t xml:space="preserve"> Mitigation and Management.</w:t>
      </w:r>
      <w:r>
        <w:t xml:space="preserve"> Canberra</w:t>
      </w:r>
      <w:r>
        <w:t xml:space="preserve">: </w:t>
      </w:r>
      <w:r>
        <w:t>Commonwealth of Australia.</w:t>
      </w:r>
    </w:p>
    <w:p w:rsidR="00647921" w:rsidRDefault="00647921" w:rsidP="00647921">
      <w:pPr>
        <w:rPr>
          <w:rFonts w:cs="Tahoma"/>
          <w:lang w:val="en-GB"/>
        </w:rPr>
      </w:pPr>
      <w:proofErr w:type="gramStart"/>
      <w:r>
        <w:rPr>
          <w:rFonts w:cs="Tahoma"/>
          <w:lang w:val="en-GB"/>
        </w:rPr>
        <w:t>Elsworth, G., J. Gilbert, P. Robinson, C. Rowe and K. Stevens.</w:t>
      </w:r>
      <w:proofErr w:type="gramEnd"/>
      <w:r>
        <w:rPr>
          <w:rFonts w:cs="Tahoma"/>
          <w:lang w:val="en-GB"/>
        </w:rPr>
        <w:t xml:space="preserve"> 2009. </w:t>
      </w:r>
      <w:r w:rsidRPr="00012D33">
        <w:rPr>
          <w:rFonts w:cs="Tahoma"/>
          <w:i/>
          <w:lang w:val="en-GB"/>
        </w:rPr>
        <w:t>National Review of Community Education, Awareness and Engagement Programs for Natural Hazards</w:t>
      </w:r>
      <w:r>
        <w:rPr>
          <w:rFonts w:cs="Tahoma"/>
          <w:lang w:val="en-GB"/>
        </w:rPr>
        <w:t>. Melbourne: RMIT University School of Global Studies, Social Science and Planning.</w:t>
      </w:r>
    </w:p>
    <w:p w:rsidR="00647921" w:rsidRDefault="00647921" w:rsidP="0003045F">
      <w:pPr>
        <w:rPr>
          <w:rFonts w:cs="Tahoma"/>
          <w:lang w:val="en-AU"/>
        </w:rPr>
      </w:pPr>
      <w:proofErr w:type="spellStart"/>
      <w:proofErr w:type="gramStart"/>
      <w:r w:rsidRPr="00B87B5F">
        <w:rPr>
          <w:rFonts w:cs="Tahoma"/>
          <w:lang w:val="en-AU"/>
        </w:rPr>
        <w:t>Kriewaldt</w:t>
      </w:r>
      <w:proofErr w:type="spellEnd"/>
      <w:r w:rsidRPr="00B87B5F">
        <w:rPr>
          <w:rFonts w:cs="Tahoma"/>
          <w:lang w:val="en-AU"/>
        </w:rPr>
        <w:t>, J</w:t>
      </w:r>
      <w:r>
        <w:rPr>
          <w:rFonts w:cs="Tahoma"/>
          <w:lang w:val="en-AU"/>
        </w:rPr>
        <w:t>.</w:t>
      </w:r>
      <w:r w:rsidRPr="00B87B5F">
        <w:rPr>
          <w:rFonts w:cs="Tahoma"/>
          <w:lang w:val="en-AU"/>
        </w:rPr>
        <w:t xml:space="preserve">, </w:t>
      </w:r>
      <w:r w:rsidRPr="00B87B5F">
        <w:rPr>
          <w:rFonts w:cs="Tahoma"/>
          <w:lang w:val="en-AU"/>
        </w:rPr>
        <w:t xml:space="preserve">D. </w:t>
      </w:r>
      <w:r w:rsidRPr="00B87B5F">
        <w:rPr>
          <w:rFonts w:cs="Tahoma"/>
          <w:lang w:val="en-AU"/>
        </w:rPr>
        <w:t xml:space="preserve">Butler, </w:t>
      </w:r>
      <w:r w:rsidRPr="00B87B5F">
        <w:rPr>
          <w:rFonts w:cs="Tahoma"/>
          <w:lang w:val="en-AU"/>
        </w:rPr>
        <w:t xml:space="preserve">D. Doyle, J. </w:t>
      </w:r>
      <w:r w:rsidRPr="00B87B5F">
        <w:rPr>
          <w:rFonts w:cs="Tahoma"/>
          <w:lang w:val="en-AU"/>
        </w:rPr>
        <w:t xml:space="preserve">Freeman, </w:t>
      </w:r>
      <w:r w:rsidRPr="00B87B5F">
        <w:rPr>
          <w:rFonts w:cs="Tahoma"/>
          <w:lang w:val="en-AU"/>
        </w:rPr>
        <w:t xml:space="preserve">N. Hutchinson, S. Parkinson, E. Terry and M. </w:t>
      </w:r>
      <w:proofErr w:type="spellStart"/>
      <w:r w:rsidRPr="00B87B5F">
        <w:rPr>
          <w:rFonts w:cs="Tahoma"/>
          <w:lang w:val="en-AU"/>
        </w:rPr>
        <w:t>Boscato</w:t>
      </w:r>
      <w:proofErr w:type="spellEnd"/>
      <w:r w:rsidRPr="00B87B5F">
        <w:rPr>
          <w:rFonts w:cs="Tahoma"/>
          <w:lang w:val="en-AU"/>
        </w:rPr>
        <w:t>.</w:t>
      </w:r>
      <w:proofErr w:type="gramEnd"/>
      <w:r w:rsidRPr="00B87B5F">
        <w:rPr>
          <w:rFonts w:cs="Tahoma"/>
          <w:lang w:val="en-AU"/>
        </w:rPr>
        <w:t xml:space="preserve"> 2003.</w:t>
      </w:r>
      <w:r w:rsidRPr="00B87B5F">
        <w:rPr>
          <w:rFonts w:cs="Tahoma"/>
          <w:lang w:val="en-AU"/>
        </w:rPr>
        <w:t xml:space="preserve"> Curriculum overview of hazard education in Australia.</w:t>
      </w:r>
      <w:r w:rsidRPr="00B87B5F">
        <w:rPr>
          <w:rFonts w:cs="Tahoma"/>
          <w:i/>
          <w:lang w:val="en-AU"/>
        </w:rPr>
        <w:t xml:space="preserve"> The Geography Bulletin</w:t>
      </w:r>
      <w:r w:rsidRPr="00B87B5F">
        <w:rPr>
          <w:rFonts w:cs="Tahoma"/>
          <w:lang w:val="en-AU"/>
        </w:rPr>
        <w:t xml:space="preserve">, </w:t>
      </w:r>
      <w:proofErr w:type="gramStart"/>
      <w:r w:rsidRPr="00B87B5F">
        <w:rPr>
          <w:rFonts w:cs="Tahoma"/>
          <w:lang w:val="en-AU"/>
        </w:rPr>
        <w:t>Autumn</w:t>
      </w:r>
      <w:proofErr w:type="gramEnd"/>
      <w:r w:rsidRPr="00B87B5F">
        <w:rPr>
          <w:rFonts w:cs="Tahoma"/>
          <w:lang w:val="en-AU"/>
        </w:rPr>
        <w:t>,</w:t>
      </w:r>
      <w:r w:rsidRPr="00B87B5F">
        <w:rPr>
          <w:rFonts w:cs="Tahoma"/>
          <w:lang w:val="en-AU"/>
        </w:rPr>
        <w:t xml:space="preserve"> 2003.</w:t>
      </w:r>
    </w:p>
    <w:p w:rsidR="001E5F49" w:rsidRPr="001E5F49" w:rsidRDefault="001E5F49" w:rsidP="0003045F">
      <w:pPr>
        <w:rPr>
          <w:rFonts w:cs="Tahoma"/>
          <w:lang w:val="en-GB"/>
        </w:rPr>
      </w:pPr>
      <w:hyperlink r:id="rId14" w:tooltip="Dorothea Mackellar" w:history="1">
        <w:r w:rsidRPr="001E5F49">
          <w:rPr>
            <w:rFonts w:cs="Tahoma"/>
            <w:lang w:val="en-GB"/>
          </w:rPr>
          <w:t>Mackellar</w:t>
        </w:r>
      </w:hyperlink>
      <w:r>
        <w:rPr>
          <w:rFonts w:cs="Tahoma"/>
          <w:lang w:val="en-GB"/>
        </w:rPr>
        <w:t xml:space="preserve">, D. 1908. </w:t>
      </w:r>
      <w:proofErr w:type="gramStart"/>
      <w:r w:rsidRPr="001E5F49">
        <w:rPr>
          <w:rFonts w:cs="Tahoma"/>
          <w:i/>
          <w:lang w:val="en-GB"/>
        </w:rPr>
        <w:t>My Country</w:t>
      </w:r>
      <w:r>
        <w:rPr>
          <w:rFonts w:cs="Tahoma"/>
          <w:lang w:val="en-GB"/>
        </w:rPr>
        <w:t>.</w:t>
      </w:r>
      <w:proofErr w:type="gramEnd"/>
      <w:r>
        <w:rPr>
          <w:rFonts w:cs="Tahoma"/>
          <w:lang w:val="en-GB"/>
        </w:rPr>
        <w:t xml:space="preserve"> </w:t>
      </w:r>
      <w:r>
        <w:rPr>
          <w:rFonts w:cs="Tahoma"/>
          <w:lang w:val="en-GB"/>
        </w:rPr>
        <w:t>Poem o</w:t>
      </w:r>
      <w:r>
        <w:rPr>
          <w:rFonts w:cs="Tahoma"/>
          <w:lang w:val="en-GB"/>
        </w:rPr>
        <w:t xml:space="preserve">riginally published as ‘Core of My Heart’ in </w:t>
      </w:r>
      <w:hyperlink r:id="rId15" w:tooltip="The Spectator" w:history="1">
        <w:r w:rsidRPr="001E5F49">
          <w:rPr>
            <w:rFonts w:cs="Tahoma"/>
            <w:lang w:val="en-GB"/>
          </w:rPr>
          <w:t>The Spectator</w:t>
        </w:r>
      </w:hyperlink>
      <w:r>
        <w:rPr>
          <w:rFonts w:cs="Tahoma"/>
          <w:lang w:val="en-GB"/>
        </w:rPr>
        <w:t>, London.</w:t>
      </w:r>
    </w:p>
    <w:p w:rsidR="00647921" w:rsidRPr="00647921" w:rsidRDefault="00647921" w:rsidP="00B87B5F">
      <w:pPr>
        <w:rPr>
          <w:rFonts w:cs="Tahoma"/>
          <w:lang w:val="en-AU"/>
        </w:rPr>
      </w:pPr>
      <w:proofErr w:type="gramStart"/>
      <w:r w:rsidRPr="000C19BB">
        <w:rPr>
          <w:rFonts w:cs="Tahoma"/>
          <w:lang w:val="en-AU"/>
        </w:rPr>
        <w:t>Ronan, K.R. and D.M. Johnston.</w:t>
      </w:r>
      <w:proofErr w:type="gramEnd"/>
      <w:r w:rsidRPr="000C19BB">
        <w:rPr>
          <w:rFonts w:cs="Tahoma"/>
          <w:lang w:val="en-AU"/>
        </w:rPr>
        <w:t xml:space="preserve"> 2005. </w:t>
      </w:r>
      <w:r w:rsidRPr="000C19BB">
        <w:rPr>
          <w:rFonts w:cs="Tahoma"/>
          <w:i/>
          <w:lang w:val="en-AU"/>
        </w:rPr>
        <w:t>Promoting community resilience in disaster: the role for schools, youth and families</w:t>
      </w:r>
      <w:r>
        <w:rPr>
          <w:rFonts w:cs="Tahoma"/>
          <w:lang w:val="en-AU"/>
        </w:rPr>
        <w:t>. USA: Springer.</w:t>
      </w:r>
    </w:p>
    <w:p w:rsidR="00B87B5F" w:rsidRDefault="00B87B5F" w:rsidP="00B87B5F">
      <w:pPr>
        <w:rPr>
          <w:rFonts w:ascii="Arial" w:hAnsi="Arial" w:cs="Arial"/>
          <w:lang w:val="en-AU"/>
        </w:rPr>
      </w:pPr>
      <w:proofErr w:type="gramStart"/>
      <w:r w:rsidRPr="00B87B5F">
        <w:rPr>
          <w:rFonts w:ascii="Arial" w:hAnsi="Arial" w:cs="Arial"/>
          <w:lang w:val="en-AU"/>
        </w:rPr>
        <w:t>Rubicon Atlas</w:t>
      </w:r>
      <w:r>
        <w:rPr>
          <w:rFonts w:ascii="Arial" w:hAnsi="Arial" w:cs="Arial"/>
          <w:lang w:val="en-AU"/>
        </w:rPr>
        <w:t>.</w:t>
      </w:r>
      <w:proofErr w:type="gramEnd"/>
      <w:r w:rsidRPr="00B87B5F">
        <w:rPr>
          <w:rFonts w:ascii="Arial" w:hAnsi="Arial" w:cs="Arial"/>
          <w:lang w:val="en-AU"/>
        </w:rPr>
        <w:t xml:space="preserve"> 2013</w:t>
      </w:r>
      <w:r>
        <w:rPr>
          <w:rFonts w:ascii="Arial" w:hAnsi="Arial" w:cs="Arial"/>
          <w:lang w:val="en-AU"/>
        </w:rPr>
        <w:t xml:space="preserve">. </w:t>
      </w:r>
      <w:r w:rsidRPr="00B87B5F">
        <w:rPr>
          <w:rFonts w:ascii="Arial" w:hAnsi="Arial" w:cs="Arial"/>
          <w:i/>
          <w:lang w:val="en-AU"/>
        </w:rPr>
        <w:t>Curriculum Mapping</w:t>
      </w:r>
      <w:r w:rsidRPr="00B87B5F">
        <w:rPr>
          <w:rFonts w:ascii="Arial" w:hAnsi="Arial" w:cs="Arial"/>
          <w:lang w:val="en-AU"/>
        </w:rPr>
        <w:t>.</w:t>
      </w:r>
      <w:r w:rsidRPr="00B87B5F">
        <w:rPr>
          <w:rFonts w:ascii="Arial" w:hAnsi="Arial" w:cs="Arial"/>
          <w:i/>
          <w:lang w:val="en-AU"/>
        </w:rPr>
        <w:t xml:space="preserve"> </w:t>
      </w:r>
      <w:r w:rsidRPr="00B87B5F">
        <w:rPr>
          <w:rFonts w:ascii="Arial" w:hAnsi="Arial" w:cs="Arial"/>
          <w:lang w:val="en-AU"/>
        </w:rPr>
        <w:t xml:space="preserve">At: </w:t>
      </w:r>
      <w:hyperlink r:id="rId16" w:history="1">
        <w:r w:rsidRPr="00B87B5F">
          <w:rPr>
            <w:rStyle w:val="Hyperlink"/>
            <w:rFonts w:ascii="Arial" w:hAnsi="Arial" w:cs="Arial"/>
            <w:lang w:val="en-AU"/>
          </w:rPr>
          <w:t>www.rubicon.com/</w:t>
        </w:r>
      </w:hyperlink>
      <w:r w:rsidRPr="00B87B5F">
        <w:rPr>
          <w:rFonts w:ascii="Arial" w:hAnsi="Arial" w:cs="Arial"/>
          <w:lang w:val="en-AU"/>
        </w:rPr>
        <w:t xml:space="preserve"> [28 August 2013].</w:t>
      </w:r>
    </w:p>
    <w:p w:rsidR="00647921" w:rsidRPr="00647921" w:rsidRDefault="00647921" w:rsidP="00B87B5F">
      <w:pPr>
        <w:rPr>
          <w:rFonts w:cs="Tahoma"/>
          <w:lang w:val="en-AU"/>
        </w:rPr>
      </w:pPr>
      <w:proofErr w:type="gramStart"/>
      <w:r w:rsidRPr="00B87B5F">
        <w:rPr>
          <w:rFonts w:cs="Tahoma"/>
          <w:lang w:val="en-AU"/>
        </w:rPr>
        <w:t>Shaw, R</w:t>
      </w:r>
      <w:r>
        <w:rPr>
          <w:rFonts w:cs="Tahoma"/>
          <w:lang w:val="en-AU"/>
        </w:rPr>
        <w:t>.</w:t>
      </w:r>
      <w:r w:rsidRPr="00B87B5F">
        <w:rPr>
          <w:rFonts w:cs="Tahoma"/>
          <w:lang w:val="en-AU"/>
        </w:rPr>
        <w:t>, K</w:t>
      </w:r>
      <w:r w:rsidRPr="00B87B5F">
        <w:rPr>
          <w:rFonts w:cs="Tahoma"/>
          <w:lang w:val="en-AU"/>
        </w:rPr>
        <w:t xml:space="preserve">. </w:t>
      </w:r>
      <w:proofErr w:type="spellStart"/>
      <w:r w:rsidRPr="00B87B5F">
        <w:rPr>
          <w:rFonts w:cs="Tahoma"/>
          <w:lang w:val="en-AU"/>
        </w:rPr>
        <w:t>Sh</w:t>
      </w:r>
      <w:r w:rsidRPr="00B87B5F">
        <w:rPr>
          <w:rFonts w:cs="Tahoma"/>
          <w:lang w:val="en-AU"/>
        </w:rPr>
        <w:t>iwaku</w:t>
      </w:r>
      <w:proofErr w:type="spellEnd"/>
      <w:r w:rsidRPr="00B87B5F">
        <w:rPr>
          <w:rFonts w:cs="Tahoma"/>
          <w:lang w:val="en-AU"/>
        </w:rPr>
        <w:t xml:space="preserve"> and Y. Takeuchi.</w:t>
      </w:r>
      <w:proofErr w:type="gramEnd"/>
      <w:r w:rsidRPr="00B87B5F">
        <w:rPr>
          <w:rFonts w:cs="Tahoma"/>
          <w:lang w:val="en-AU"/>
        </w:rPr>
        <w:t xml:space="preserve"> 2011</w:t>
      </w:r>
      <w:r w:rsidRPr="00B87B5F">
        <w:rPr>
          <w:rFonts w:cs="Tahoma"/>
          <w:lang w:val="en-AU"/>
        </w:rPr>
        <w:t>.</w:t>
      </w:r>
      <w:r w:rsidRPr="00B87B5F">
        <w:rPr>
          <w:rFonts w:cs="Tahoma"/>
          <w:lang w:val="en-AU"/>
        </w:rPr>
        <w:t xml:space="preserve"> </w:t>
      </w:r>
      <w:r w:rsidRPr="00B87B5F">
        <w:rPr>
          <w:rFonts w:cs="Tahoma"/>
          <w:i/>
          <w:lang w:val="en-AU"/>
        </w:rPr>
        <w:t xml:space="preserve">Disaster Education. </w:t>
      </w:r>
      <w:r w:rsidRPr="00B87B5F">
        <w:rPr>
          <w:rFonts w:cs="Tahoma"/>
          <w:lang w:val="en-AU"/>
        </w:rPr>
        <w:t>Bingley, UK: Emerald.</w:t>
      </w:r>
    </w:p>
    <w:p w:rsidR="00647921" w:rsidRDefault="00647921" w:rsidP="00647921">
      <w:pPr>
        <w:rPr>
          <w:rFonts w:cs="Tahoma"/>
          <w:lang w:val="en-GB"/>
        </w:rPr>
      </w:pPr>
      <w:proofErr w:type="gramStart"/>
      <w:r>
        <w:rPr>
          <w:rFonts w:cs="Tahoma"/>
          <w:lang w:val="en-GB"/>
        </w:rPr>
        <w:t>Steffen, W., L. Hughes and S. Perkins.</w:t>
      </w:r>
      <w:proofErr w:type="gramEnd"/>
      <w:r>
        <w:rPr>
          <w:rFonts w:cs="Tahoma"/>
          <w:lang w:val="en-GB"/>
        </w:rPr>
        <w:t xml:space="preserve"> 2014. </w:t>
      </w:r>
      <w:proofErr w:type="spellStart"/>
      <w:r w:rsidRPr="000C19BB">
        <w:rPr>
          <w:rFonts w:cs="Tahoma"/>
          <w:i/>
          <w:lang w:val="en-GB"/>
        </w:rPr>
        <w:t>Heatwaves</w:t>
      </w:r>
      <w:proofErr w:type="spellEnd"/>
      <w:r w:rsidRPr="000C19BB">
        <w:rPr>
          <w:rFonts w:cs="Tahoma"/>
          <w:i/>
          <w:lang w:val="en-GB"/>
        </w:rPr>
        <w:t>: Hotter, Longer, More Often</w:t>
      </w:r>
      <w:r>
        <w:rPr>
          <w:rFonts w:cs="Tahoma"/>
          <w:lang w:val="en-GB"/>
        </w:rPr>
        <w:t xml:space="preserve">. </w:t>
      </w:r>
      <w:proofErr w:type="gramStart"/>
      <w:r>
        <w:rPr>
          <w:rFonts w:cs="Tahoma"/>
          <w:lang w:val="en-GB"/>
        </w:rPr>
        <w:t>Climate Council of Australia.</w:t>
      </w:r>
      <w:proofErr w:type="gramEnd"/>
    </w:p>
    <w:p w:rsidR="00647921" w:rsidRDefault="00647921" w:rsidP="00647921">
      <w:pPr>
        <w:rPr>
          <w:rFonts w:cs="Tahoma"/>
          <w:lang w:val="en-AU"/>
        </w:rPr>
      </w:pPr>
      <w:proofErr w:type="gramStart"/>
      <w:r w:rsidRPr="000C19BB">
        <w:rPr>
          <w:rFonts w:cs="Tahoma"/>
          <w:lang w:val="en-AU"/>
        </w:rPr>
        <w:t>Towers, B</w:t>
      </w:r>
      <w:r>
        <w:rPr>
          <w:rFonts w:cs="Tahoma"/>
          <w:lang w:val="en-AU"/>
        </w:rPr>
        <w:t>.</w:t>
      </w:r>
      <w:r w:rsidRPr="000C19BB">
        <w:rPr>
          <w:rFonts w:cs="Tahoma"/>
          <w:lang w:val="en-AU"/>
        </w:rPr>
        <w:t xml:space="preserve"> </w:t>
      </w:r>
      <w:r>
        <w:rPr>
          <w:rFonts w:cs="Tahoma"/>
          <w:lang w:val="en-AU"/>
        </w:rPr>
        <w:t xml:space="preserve">and </w:t>
      </w:r>
      <w:r w:rsidRPr="000C19BB">
        <w:rPr>
          <w:rFonts w:cs="Tahoma"/>
          <w:lang w:val="en-AU"/>
        </w:rPr>
        <w:t>D</w:t>
      </w:r>
      <w:r>
        <w:rPr>
          <w:rFonts w:cs="Tahoma"/>
          <w:lang w:val="en-AU"/>
        </w:rPr>
        <w:t>. Paton.</w:t>
      </w:r>
      <w:proofErr w:type="gramEnd"/>
      <w:r w:rsidRPr="000C19BB">
        <w:rPr>
          <w:rFonts w:cs="Tahoma"/>
          <w:lang w:val="en-AU"/>
        </w:rPr>
        <w:t xml:space="preserve"> 2007</w:t>
      </w:r>
      <w:r>
        <w:rPr>
          <w:rFonts w:cs="Tahoma"/>
          <w:lang w:val="en-AU"/>
        </w:rPr>
        <w:t>.</w:t>
      </w:r>
      <w:r w:rsidRPr="000C19BB">
        <w:rPr>
          <w:rFonts w:cs="Tahoma"/>
          <w:i/>
          <w:lang w:val="en-AU"/>
        </w:rPr>
        <w:t xml:space="preserve"> What do children understand about bushfire risk? </w:t>
      </w:r>
      <w:r w:rsidRPr="000C19BB">
        <w:rPr>
          <w:rFonts w:cs="Tahoma"/>
          <w:lang w:val="en-AU"/>
        </w:rPr>
        <w:t>Research Poster for the Bushfire CRC/AFAC Conference, Hobart, September, 2007.</w:t>
      </w:r>
    </w:p>
    <w:p w:rsidR="00647921" w:rsidRPr="00647921" w:rsidRDefault="00647921" w:rsidP="00647921">
      <w:pPr>
        <w:rPr>
          <w:rFonts w:cs="Tahoma"/>
          <w:lang w:val="en-GB"/>
        </w:rPr>
      </w:pPr>
      <w:proofErr w:type="gramStart"/>
      <w:r>
        <w:rPr>
          <w:rFonts w:cs="Tahoma"/>
          <w:lang w:val="en-GB"/>
        </w:rPr>
        <w:t>UNESCO and UNICEF.</w:t>
      </w:r>
      <w:proofErr w:type="gramEnd"/>
      <w:r>
        <w:rPr>
          <w:rFonts w:cs="Tahoma"/>
          <w:lang w:val="en-GB"/>
        </w:rPr>
        <w:t xml:space="preserve"> 2012. </w:t>
      </w:r>
      <w:r w:rsidRPr="00B87B5F">
        <w:rPr>
          <w:rFonts w:cs="Tahoma"/>
          <w:i/>
          <w:lang w:val="en-GB"/>
        </w:rPr>
        <w:t>Disaster risk reduction in school curricula: case studies from thirty countries</w:t>
      </w:r>
      <w:r>
        <w:rPr>
          <w:rFonts w:cs="Tahoma"/>
          <w:lang w:val="en-GB"/>
        </w:rPr>
        <w:t xml:space="preserve">. </w:t>
      </w:r>
      <w:r w:rsidRPr="00B87B5F">
        <w:rPr>
          <w:rFonts w:cs="Tahoma"/>
          <w:lang w:val="en-GB"/>
        </w:rPr>
        <w:t>Geneva, Switzerland</w:t>
      </w:r>
      <w:r>
        <w:rPr>
          <w:rFonts w:cs="Tahoma"/>
          <w:lang w:val="en-GB"/>
        </w:rPr>
        <w:t xml:space="preserve">: United Nations Children Fund and </w:t>
      </w:r>
      <w:r w:rsidRPr="00B87B5F">
        <w:rPr>
          <w:rFonts w:cs="Tahoma"/>
          <w:lang w:val="en-GB"/>
        </w:rPr>
        <w:t>Paris, France</w:t>
      </w:r>
      <w:r>
        <w:rPr>
          <w:rFonts w:cs="Tahoma"/>
          <w:lang w:val="en-GB"/>
        </w:rPr>
        <w:t xml:space="preserve">: </w:t>
      </w:r>
      <w:r w:rsidRPr="00B87B5F">
        <w:rPr>
          <w:rFonts w:cs="Tahoma"/>
          <w:lang w:val="en-GB"/>
        </w:rPr>
        <w:t>Unit</w:t>
      </w:r>
      <w:r>
        <w:rPr>
          <w:rFonts w:cs="Tahoma"/>
          <w:lang w:val="en-GB"/>
        </w:rPr>
        <w:t>ed Nations Educational, Scientifi</w:t>
      </w:r>
      <w:r w:rsidRPr="00B87B5F">
        <w:rPr>
          <w:rFonts w:cs="Tahoma"/>
          <w:lang w:val="en-GB"/>
        </w:rPr>
        <w:t>c and Cultural Organization</w:t>
      </w:r>
      <w:r>
        <w:rPr>
          <w:rFonts w:cs="Tahoma"/>
          <w:lang w:val="en-GB"/>
        </w:rPr>
        <w:t>.</w:t>
      </w:r>
    </w:p>
    <w:p w:rsidR="00647921" w:rsidRDefault="00647921" w:rsidP="00647921">
      <w:pPr>
        <w:rPr>
          <w:rFonts w:cs="Tahoma"/>
          <w:lang w:val="en-GB"/>
        </w:rPr>
      </w:pPr>
      <w:proofErr w:type="gramStart"/>
      <w:r>
        <w:rPr>
          <w:rFonts w:cs="Tahoma"/>
          <w:lang w:val="en-GB"/>
        </w:rPr>
        <w:t>UNISDR.</w:t>
      </w:r>
      <w:proofErr w:type="gramEnd"/>
      <w:r>
        <w:rPr>
          <w:rFonts w:cs="Tahoma"/>
          <w:lang w:val="en-GB"/>
        </w:rPr>
        <w:t xml:space="preserve"> 2014. </w:t>
      </w:r>
      <w:r w:rsidRPr="000C19BB">
        <w:rPr>
          <w:rFonts w:cs="Tahoma"/>
          <w:i/>
          <w:lang w:val="en-GB"/>
        </w:rPr>
        <w:t>What is Disaster Risk Reduction?</w:t>
      </w:r>
      <w:r>
        <w:rPr>
          <w:rFonts w:cs="Tahoma"/>
          <w:lang w:val="en-GB"/>
        </w:rPr>
        <w:t xml:space="preserve"> At: </w:t>
      </w:r>
      <w:hyperlink r:id="rId17" w:history="1">
        <w:r w:rsidRPr="003022EE">
          <w:rPr>
            <w:rStyle w:val="Hyperlink"/>
            <w:rFonts w:cs="Tahoma"/>
            <w:lang w:val="en-GB"/>
          </w:rPr>
          <w:t>http://www.unisdr.org/who-we-are/what-is-drr</w:t>
        </w:r>
      </w:hyperlink>
      <w:r>
        <w:rPr>
          <w:rFonts w:cs="Tahoma"/>
          <w:lang w:val="en-GB"/>
        </w:rPr>
        <w:t xml:space="preserve">  (6 March 2014).</w:t>
      </w:r>
    </w:p>
    <w:p w:rsidR="00E2478A" w:rsidRPr="00721D96" w:rsidRDefault="00E2478A" w:rsidP="00012D33">
      <w:pPr>
        <w:pStyle w:val="Default"/>
        <w:jc w:val="both"/>
        <w:rPr>
          <w:rFonts w:ascii="Tahoma" w:hAnsi="Tahoma" w:cs="Times New Roman"/>
          <w:color w:val="auto"/>
          <w:sz w:val="22"/>
          <w:szCs w:val="22"/>
          <w:lang w:eastAsia="en-US"/>
        </w:rPr>
      </w:pPr>
    </w:p>
    <w:sectPr w:rsidR="00E2478A" w:rsidRPr="00721D96" w:rsidSect="00763CD1">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BB" w:rsidRDefault="000C19BB" w:rsidP="004A06FC">
      <w:pPr>
        <w:spacing w:after="0" w:line="240" w:lineRule="auto"/>
      </w:pPr>
      <w:r>
        <w:separator/>
      </w:r>
    </w:p>
  </w:endnote>
  <w:endnote w:type="continuationSeparator" w:id="0">
    <w:p w:rsidR="000C19BB" w:rsidRDefault="000C19BB" w:rsidP="004A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BB" w:rsidRPr="00763CD1" w:rsidRDefault="000C19BB">
    <w:pPr>
      <w:pStyle w:val="Footer"/>
      <w:jc w:val="right"/>
      <w:rPr>
        <w:sz w:val="16"/>
      </w:rPr>
    </w:pPr>
    <w:r w:rsidRPr="00763CD1">
      <w:rPr>
        <w:sz w:val="16"/>
      </w:rPr>
      <w:fldChar w:fldCharType="begin"/>
    </w:r>
    <w:r w:rsidRPr="00763CD1">
      <w:rPr>
        <w:sz w:val="16"/>
      </w:rPr>
      <w:instrText>PAGE   \* MERGEFORMAT</w:instrText>
    </w:r>
    <w:r w:rsidRPr="00763CD1">
      <w:rPr>
        <w:sz w:val="16"/>
      </w:rPr>
      <w:fldChar w:fldCharType="separate"/>
    </w:r>
    <w:r w:rsidR="002B633A" w:rsidRPr="002B633A">
      <w:rPr>
        <w:noProof/>
        <w:sz w:val="16"/>
        <w:lang w:val="fr-FR"/>
      </w:rPr>
      <w:t>2</w:t>
    </w:r>
    <w:r w:rsidRPr="00763CD1">
      <w:rPr>
        <w:sz w:val="16"/>
      </w:rPr>
      <w:fldChar w:fldCharType="end"/>
    </w:r>
  </w:p>
  <w:p w:rsidR="000C19BB" w:rsidRDefault="000C1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BB" w:rsidRDefault="000C19BB" w:rsidP="004A06FC">
      <w:pPr>
        <w:spacing w:after="0" w:line="240" w:lineRule="auto"/>
      </w:pPr>
      <w:r>
        <w:separator/>
      </w:r>
    </w:p>
  </w:footnote>
  <w:footnote w:type="continuationSeparator" w:id="0">
    <w:p w:rsidR="000C19BB" w:rsidRDefault="000C19BB" w:rsidP="004A0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D93"/>
    <w:multiLevelType w:val="hybridMultilevel"/>
    <w:tmpl w:val="9DDC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DD2E7D"/>
    <w:multiLevelType w:val="hybridMultilevel"/>
    <w:tmpl w:val="42ECEDBA"/>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
    <w:nsid w:val="38FC5AB6"/>
    <w:multiLevelType w:val="hybridMultilevel"/>
    <w:tmpl w:val="66EC08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3A3E09C2"/>
    <w:multiLevelType w:val="hybridMultilevel"/>
    <w:tmpl w:val="0D3AE6C6"/>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4">
    <w:nsid w:val="40CD3663"/>
    <w:multiLevelType w:val="hybridMultilevel"/>
    <w:tmpl w:val="74CAD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7D610CD"/>
    <w:multiLevelType w:val="hybridMultilevel"/>
    <w:tmpl w:val="945C3A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47FA75C8"/>
    <w:multiLevelType w:val="hybridMultilevel"/>
    <w:tmpl w:val="A3F6916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48047B5C"/>
    <w:multiLevelType w:val="hybridMultilevel"/>
    <w:tmpl w:val="F0C8B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F0126C0"/>
    <w:multiLevelType w:val="hybridMultilevel"/>
    <w:tmpl w:val="910AAB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78311DE"/>
    <w:multiLevelType w:val="hybridMultilevel"/>
    <w:tmpl w:val="5FAE0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7725D44"/>
    <w:multiLevelType w:val="hybridMultilevel"/>
    <w:tmpl w:val="3D789D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BAA2524"/>
    <w:multiLevelType w:val="hybridMultilevel"/>
    <w:tmpl w:val="5D82D9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35F4515"/>
    <w:multiLevelType w:val="hybridMultilevel"/>
    <w:tmpl w:val="517801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54D56D5"/>
    <w:multiLevelType w:val="hybridMultilevel"/>
    <w:tmpl w:val="BCE645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C675A68"/>
    <w:multiLevelType w:val="hybridMultilevel"/>
    <w:tmpl w:val="9B9AF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11"/>
  </w:num>
  <w:num w:numId="5">
    <w:abstractNumId w:val="10"/>
  </w:num>
  <w:num w:numId="6">
    <w:abstractNumId w:val="9"/>
  </w:num>
  <w:num w:numId="7">
    <w:abstractNumId w:val="0"/>
  </w:num>
  <w:num w:numId="8">
    <w:abstractNumId w:val="5"/>
  </w:num>
  <w:num w:numId="9">
    <w:abstractNumId w:val="14"/>
  </w:num>
  <w:num w:numId="10">
    <w:abstractNumId w:val="12"/>
  </w:num>
  <w:num w:numId="11">
    <w:abstractNumId w:val="13"/>
  </w:num>
  <w:num w:numId="12">
    <w:abstractNumId w:val="4"/>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FC"/>
    <w:rsid w:val="00012D33"/>
    <w:rsid w:val="0003045F"/>
    <w:rsid w:val="0004507F"/>
    <w:rsid w:val="00074285"/>
    <w:rsid w:val="000770BE"/>
    <w:rsid w:val="000B16BD"/>
    <w:rsid w:val="000C19BB"/>
    <w:rsid w:val="000D0FCE"/>
    <w:rsid w:val="00180521"/>
    <w:rsid w:val="001A2865"/>
    <w:rsid w:val="001B2B8B"/>
    <w:rsid w:val="001C6C6B"/>
    <w:rsid w:val="001D17EF"/>
    <w:rsid w:val="001E2B74"/>
    <w:rsid w:val="001E5F49"/>
    <w:rsid w:val="001E75F7"/>
    <w:rsid w:val="001F7DFE"/>
    <w:rsid w:val="00203962"/>
    <w:rsid w:val="00210576"/>
    <w:rsid w:val="00291CC1"/>
    <w:rsid w:val="002B633A"/>
    <w:rsid w:val="002C4027"/>
    <w:rsid w:val="002D5F2D"/>
    <w:rsid w:val="002F5B8C"/>
    <w:rsid w:val="00337EB3"/>
    <w:rsid w:val="00392372"/>
    <w:rsid w:val="00392A41"/>
    <w:rsid w:val="003B321E"/>
    <w:rsid w:val="003C50DB"/>
    <w:rsid w:val="003F23BB"/>
    <w:rsid w:val="00403CE7"/>
    <w:rsid w:val="00462BB4"/>
    <w:rsid w:val="004639A6"/>
    <w:rsid w:val="004A06FC"/>
    <w:rsid w:val="004C4C72"/>
    <w:rsid w:val="004F0F6F"/>
    <w:rsid w:val="004F2AA2"/>
    <w:rsid w:val="005151F0"/>
    <w:rsid w:val="00527747"/>
    <w:rsid w:val="005449AF"/>
    <w:rsid w:val="005503E3"/>
    <w:rsid w:val="00555F2F"/>
    <w:rsid w:val="00586615"/>
    <w:rsid w:val="005C5BA2"/>
    <w:rsid w:val="006004BE"/>
    <w:rsid w:val="0060679C"/>
    <w:rsid w:val="00612711"/>
    <w:rsid w:val="006321E8"/>
    <w:rsid w:val="0063630D"/>
    <w:rsid w:val="00646AE7"/>
    <w:rsid w:val="00647921"/>
    <w:rsid w:val="00652866"/>
    <w:rsid w:val="0065343C"/>
    <w:rsid w:val="00663EB3"/>
    <w:rsid w:val="0069102E"/>
    <w:rsid w:val="00694716"/>
    <w:rsid w:val="006A59AB"/>
    <w:rsid w:val="006D73E9"/>
    <w:rsid w:val="00700782"/>
    <w:rsid w:val="00721D96"/>
    <w:rsid w:val="007329CB"/>
    <w:rsid w:val="00734EB6"/>
    <w:rsid w:val="007412B9"/>
    <w:rsid w:val="00763CD1"/>
    <w:rsid w:val="00771E2F"/>
    <w:rsid w:val="00785DC9"/>
    <w:rsid w:val="00795920"/>
    <w:rsid w:val="007A249E"/>
    <w:rsid w:val="007C36CE"/>
    <w:rsid w:val="007C5792"/>
    <w:rsid w:val="007D0BAF"/>
    <w:rsid w:val="007D0E16"/>
    <w:rsid w:val="007D240D"/>
    <w:rsid w:val="007E4177"/>
    <w:rsid w:val="007E7028"/>
    <w:rsid w:val="008543AA"/>
    <w:rsid w:val="00854BB4"/>
    <w:rsid w:val="008A19E3"/>
    <w:rsid w:val="008C0240"/>
    <w:rsid w:val="008D35F5"/>
    <w:rsid w:val="00922648"/>
    <w:rsid w:val="009273DD"/>
    <w:rsid w:val="00955832"/>
    <w:rsid w:val="009D1DF6"/>
    <w:rsid w:val="009F7AE5"/>
    <w:rsid w:val="00A05EAD"/>
    <w:rsid w:val="00A44BE4"/>
    <w:rsid w:val="00A6207B"/>
    <w:rsid w:val="00A8284D"/>
    <w:rsid w:val="00AB31E4"/>
    <w:rsid w:val="00B20963"/>
    <w:rsid w:val="00B26B4D"/>
    <w:rsid w:val="00B37972"/>
    <w:rsid w:val="00B8241E"/>
    <w:rsid w:val="00B83056"/>
    <w:rsid w:val="00B87B5F"/>
    <w:rsid w:val="00BA37AB"/>
    <w:rsid w:val="00C47835"/>
    <w:rsid w:val="00C70B36"/>
    <w:rsid w:val="00CC4F68"/>
    <w:rsid w:val="00D348D8"/>
    <w:rsid w:val="00D67443"/>
    <w:rsid w:val="00DA11AA"/>
    <w:rsid w:val="00E02F05"/>
    <w:rsid w:val="00E12F88"/>
    <w:rsid w:val="00E14EA7"/>
    <w:rsid w:val="00E2478A"/>
    <w:rsid w:val="00E761C5"/>
    <w:rsid w:val="00E90280"/>
    <w:rsid w:val="00EB7A69"/>
    <w:rsid w:val="00EF0BFE"/>
    <w:rsid w:val="00F11A0C"/>
    <w:rsid w:val="00F12436"/>
    <w:rsid w:val="00F62521"/>
    <w:rsid w:val="00F74E2A"/>
    <w:rsid w:val="00F9452A"/>
    <w:rsid w:val="00FD25DA"/>
    <w:rsid w:val="00FE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8D35F5"/>
    <w:pPr>
      <w:spacing w:after="200" w:line="276" w:lineRule="auto"/>
      <w:jc w:val="both"/>
    </w:pPr>
    <w:rPr>
      <w:rFonts w:ascii="Tahoma" w:hAnsi="Tahoma"/>
      <w:lang w:val="fr-CH" w:eastAsia="en-US"/>
    </w:rPr>
  </w:style>
  <w:style w:type="paragraph" w:styleId="Heading1">
    <w:name w:val="heading 1"/>
    <w:basedOn w:val="Normal"/>
    <w:next w:val="Normal"/>
    <w:link w:val="Heading1Char"/>
    <w:uiPriority w:val="99"/>
    <w:qFormat/>
    <w:rsid w:val="0003045F"/>
    <w:pPr>
      <w:keepNext/>
      <w:keepLines/>
      <w:spacing w:before="240" w:after="0"/>
      <w:outlineLvl w:val="0"/>
    </w:pPr>
    <w:rPr>
      <w:rFonts w:eastAsia="SimSun"/>
      <w:b/>
      <w:sz w:val="28"/>
      <w:szCs w:val="32"/>
    </w:rPr>
  </w:style>
  <w:style w:type="paragraph" w:styleId="Heading2">
    <w:name w:val="heading 2"/>
    <w:basedOn w:val="Normal"/>
    <w:next w:val="Normal"/>
    <w:link w:val="Heading2Char"/>
    <w:uiPriority w:val="99"/>
    <w:qFormat/>
    <w:rsid w:val="0003045F"/>
    <w:pPr>
      <w:keepNext/>
      <w:keepLines/>
      <w:spacing w:before="40" w:after="0"/>
      <w:outlineLvl w:val="1"/>
    </w:pPr>
    <w:rPr>
      <w:rFonts w:eastAsia="SimSun"/>
      <w:b/>
      <w:sz w:val="24"/>
      <w:szCs w:val="26"/>
    </w:rPr>
  </w:style>
  <w:style w:type="paragraph" w:styleId="Heading3">
    <w:name w:val="heading 3"/>
    <w:basedOn w:val="Normal"/>
    <w:next w:val="Normal"/>
    <w:link w:val="Heading3Char"/>
    <w:uiPriority w:val="99"/>
    <w:qFormat/>
    <w:rsid w:val="0003045F"/>
    <w:pPr>
      <w:keepNext/>
      <w:keepLines/>
      <w:spacing w:before="40" w:after="0"/>
      <w:outlineLvl w:val="2"/>
    </w:pPr>
    <w:rPr>
      <w:rFonts w:eastAsia="SimSun"/>
      <w:b/>
      <w:szCs w:val="24"/>
    </w:rPr>
  </w:style>
  <w:style w:type="paragraph" w:styleId="Heading4">
    <w:name w:val="heading 4"/>
    <w:basedOn w:val="Normal"/>
    <w:next w:val="Normal"/>
    <w:link w:val="Heading4Char"/>
    <w:uiPriority w:val="99"/>
    <w:qFormat/>
    <w:rsid w:val="0003045F"/>
    <w:pPr>
      <w:keepNext/>
      <w:keepLines/>
      <w:spacing w:before="40" w:after="0"/>
      <w:outlineLvl w:val="3"/>
    </w:pPr>
    <w:rPr>
      <w:rFonts w:eastAsia="SimSun"/>
      <w:b/>
      <w:i/>
      <w:iCs/>
    </w:rPr>
  </w:style>
  <w:style w:type="paragraph" w:styleId="Heading5">
    <w:name w:val="heading 5"/>
    <w:basedOn w:val="Normal"/>
    <w:next w:val="Normal"/>
    <w:link w:val="Heading5Char"/>
    <w:uiPriority w:val="99"/>
    <w:qFormat/>
    <w:rsid w:val="001E2B74"/>
    <w:pPr>
      <w:keepNext/>
      <w:keepLines/>
      <w:spacing w:before="40" w:after="0"/>
      <w:outlineLvl w:val="4"/>
    </w:pPr>
    <w:rPr>
      <w:rFonts w:eastAsia="SimSun"/>
      <w:b/>
      <w:i/>
    </w:rPr>
  </w:style>
  <w:style w:type="paragraph" w:styleId="Heading6">
    <w:name w:val="heading 6"/>
    <w:basedOn w:val="Normal"/>
    <w:next w:val="Normal"/>
    <w:link w:val="Heading6Char"/>
    <w:uiPriority w:val="99"/>
    <w:qFormat/>
    <w:rsid w:val="001E2B74"/>
    <w:pPr>
      <w:keepNext/>
      <w:keepLines/>
      <w:spacing w:before="40" w:after="0"/>
      <w:outlineLvl w:val="5"/>
    </w:pPr>
    <w:rPr>
      <w:rFonts w:eastAsia="SimSun"/>
      <w:i/>
    </w:rPr>
  </w:style>
  <w:style w:type="paragraph" w:styleId="Heading7">
    <w:name w:val="heading 7"/>
    <w:basedOn w:val="Normal"/>
    <w:next w:val="Normal"/>
    <w:link w:val="Heading7Char"/>
    <w:uiPriority w:val="99"/>
    <w:qFormat/>
    <w:rsid w:val="001E2B74"/>
    <w:pPr>
      <w:keepNext/>
      <w:keepLines/>
      <w:spacing w:before="40" w:after="0"/>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45F"/>
    <w:rPr>
      <w:rFonts w:ascii="Tahoma" w:eastAsia="SimSun" w:hAnsi="Tahoma" w:cs="Times New Roman"/>
      <w:b/>
      <w:sz w:val="32"/>
      <w:szCs w:val="32"/>
    </w:rPr>
  </w:style>
  <w:style w:type="character" w:customStyle="1" w:styleId="Heading2Char">
    <w:name w:val="Heading 2 Char"/>
    <w:basedOn w:val="DefaultParagraphFont"/>
    <w:link w:val="Heading2"/>
    <w:uiPriority w:val="99"/>
    <w:locked/>
    <w:rsid w:val="0003045F"/>
    <w:rPr>
      <w:rFonts w:ascii="Tahoma" w:eastAsia="SimSun" w:hAnsi="Tahoma" w:cs="Times New Roman"/>
      <w:b/>
      <w:sz w:val="26"/>
      <w:szCs w:val="26"/>
    </w:rPr>
  </w:style>
  <w:style w:type="character" w:customStyle="1" w:styleId="Heading3Char">
    <w:name w:val="Heading 3 Char"/>
    <w:basedOn w:val="DefaultParagraphFont"/>
    <w:link w:val="Heading3"/>
    <w:uiPriority w:val="99"/>
    <w:locked/>
    <w:rsid w:val="0003045F"/>
    <w:rPr>
      <w:rFonts w:ascii="Tahoma" w:eastAsia="SimSun" w:hAnsi="Tahoma" w:cs="Times New Roman"/>
      <w:b/>
      <w:sz w:val="24"/>
      <w:szCs w:val="24"/>
    </w:rPr>
  </w:style>
  <w:style w:type="character" w:customStyle="1" w:styleId="Heading4Char">
    <w:name w:val="Heading 4 Char"/>
    <w:basedOn w:val="DefaultParagraphFont"/>
    <w:link w:val="Heading4"/>
    <w:uiPriority w:val="99"/>
    <w:locked/>
    <w:rsid w:val="0003045F"/>
    <w:rPr>
      <w:rFonts w:ascii="Tahoma" w:eastAsia="SimSun" w:hAnsi="Tahoma" w:cs="Times New Roman"/>
      <w:b/>
      <w:i/>
      <w:iCs/>
    </w:rPr>
  </w:style>
  <w:style w:type="character" w:customStyle="1" w:styleId="Heading5Char">
    <w:name w:val="Heading 5 Char"/>
    <w:basedOn w:val="DefaultParagraphFont"/>
    <w:link w:val="Heading5"/>
    <w:uiPriority w:val="99"/>
    <w:locked/>
    <w:rsid w:val="001E2B74"/>
    <w:rPr>
      <w:rFonts w:ascii="Tahoma" w:eastAsia="SimSun" w:hAnsi="Tahoma" w:cs="Times New Roman"/>
      <w:b/>
      <w:i/>
    </w:rPr>
  </w:style>
  <w:style w:type="character" w:customStyle="1" w:styleId="Heading6Char">
    <w:name w:val="Heading 6 Char"/>
    <w:basedOn w:val="DefaultParagraphFont"/>
    <w:link w:val="Heading6"/>
    <w:uiPriority w:val="99"/>
    <w:locked/>
    <w:rsid w:val="001E2B74"/>
    <w:rPr>
      <w:rFonts w:ascii="Tahoma" w:eastAsia="SimSun" w:hAnsi="Tahoma" w:cs="Times New Roman"/>
      <w:i/>
    </w:rPr>
  </w:style>
  <w:style w:type="character" w:customStyle="1" w:styleId="Heading7Char">
    <w:name w:val="Heading 7 Char"/>
    <w:basedOn w:val="DefaultParagraphFont"/>
    <w:link w:val="Heading7"/>
    <w:uiPriority w:val="99"/>
    <w:locked/>
    <w:rsid w:val="001E2B74"/>
    <w:rPr>
      <w:rFonts w:ascii="Tahoma" w:eastAsia="SimSun" w:hAnsi="Tahoma" w:cs="Times New Roman"/>
      <w:i/>
      <w:iCs/>
    </w:rPr>
  </w:style>
  <w:style w:type="paragraph" w:styleId="Header">
    <w:name w:val="header"/>
    <w:basedOn w:val="Normal"/>
    <w:link w:val="HeaderChar"/>
    <w:uiPriority w:val="99"/>
    <w:rsid w:val="004A06F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06FC"/>
    <w:rPr>
      <w:rFonts w:cs="Times New Roman"/>
    </w:rPr>
  </w:style>
  <w:style w:type="paragraph" w:styleId="Footer">
    <w:name w:val="footer"/>
    <w:basedOn w:val="Normal"/>
    <w:link w:val="FooterChar"/>
    <w:uiPriority w:val="99"/>
    <w:rsid w:val="004A06F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06FC"/>
    <w:rPr>
      <w:rFonts w:cs="Times New Roman"/>
    </w:rPr>
  </w:style>
  <w:style w:type="paragraph" w:styleId="ListParagraph">
    <w:name w:val="List Paragraph"/>
    <w:basedOn w:val="Normal"/>
    <w:uiPriority w:val="99"/>
    <w:qFormat/>
    <w:rsid w:val="004A06FC"/>
    <w:pPr>
      <w:ind w:left="720"/>
      <w:contextualSpacing/>
    </w:pPr>
  </w:style>
  <w:style w:type="paragraph" w:styleId="Subtitle">
    <w:name w:val="Subtitle"/>
    <w:basedOn w:val="Normal"/>
    <w:next w:val="Normal"/>
    <w:link w:val="SubtitleChar"/>
    <w:uiPriority w:val="99"/>
    <w:qFormat/>
    <w:rsid w:val="004A06FC"/>
    <w:pPr>
      <w:numPr>
        <w:ilvl w:val="1"/>
      </w:numPr>
      <w:spacing w:after="160"/>
    </w:pPr>
    <w:rPr>
      <w:rFonts w:eastAsia="SimSun"/>
      <w:b/>
      <w:spacing w:val="15"/>
    </w:rPr>
  </w:style>
  <w:style w:type="character" w:customStyle="1" w:styleId="SubtitleChar">
    <w:name w:val="Subtitle Char"/>
    <w:basedOn w:val="DefaultParagraphFont"/>
    <w:link w:val="Subtitle"/>
    <w:uiPriority w:val="99"/>
    <w:locked/>
    <w:rsid w:val="004A06FC"/>
    <w:rPr>
      <w:rFonts w:ascii="Tahoma" w:eastAsia="SimSun" w:hAnsi="Tahoma" w:cs="Times New Roman"/>
      <w:b/>
      <w:spacing w:val="15"/>
    </w:rPr>
  </w:style>
  <w:style w:type="paragraph" w:styleId="Quote">
    <w:name w:val="Quote"/>
    <w:basedOn w:val="Normal"/>
    <w:next w:val="Normal"/>
    <w:link w:val="QuoteChar"/>
    <w:uiPriority w:val="99"/>
    <w:qFormat/>
    <w:rsid w:val="001E2B74"/>
    <w:pPr>
      <w:spacing w:before="200" w:after="160"/>
      <w:ind w:left="864" w:right="864"/>
    </w:pPr>
    <w:rPr>
      <w:i/>
      <w:iCs/>
      <w:sz w:val="20"/>
    </w:rPr>
  </w:style>
  <w:style w:type="character" w:customStyle="1" w:styleId="QuoteChar">
    <w:name w:val="Quote Char"/>
    <w:basedOn w:val="DefaultParagraphFont"/>
    <w:link w:val="Quote"/>
    <w:uiPriority w:val="99"/>
    <w:locked/>
    <w:rsid w:val="001E2B74"/>
    <w:rPr>
      <w:rFonts w:ascii="Tahoma" w:hAnsi="Tahoma" w:cs="Times New Roman"/>
      <w:i/>
      <w:iCs/>
      <w:sz w:val="20"/>
    </w:rPr>
  </w:style>
  <w:style w:type="paragraph" w:styleId="Caption">
    <w:name w:val="caption"/>
    <w:basedOn w:val="Normal"/>
    <w:next w:val="Normal"/>
    <w:uiPriority w:val="99"/>
    <w:qFormat/>
    <w:rsid w:val="0004507F"/>
    <w:pPr>
      <w:spacing w:line="240" w:lineRule="auto"/>
    </w:pPr>
    <w:rPr>
      <w:i/>
      <w:iCs/>
      <w:color w:val="1F497D"/>
      <w:sz w:val="18"/>
      <w:szCs w:val="18"/>
    </w:rPr>
  </w:style>
  <w:style w:type="paragraph" w:styleId="NormalWeb">
    <w:name w:val="Normal (Web)"/>
    <w:basedOn w:val="Normal"/>
    <w:uiPriority w:val="99"/>
    <w:semiHidden/>
    <w:rsid w:val="008D35F5"/>
    <w:pPr>
      <w:spacing w:before="100" w:beforeAutospacing="1" w:after="100" w:afterAutospacing="1" w:line="240" w:lineRule="auto"/>
    </w:pPr>
    <w:rPr>
      <w:rFonts w:ascii="Times New Roman" w:eastAsia="Times New Roman" w:hAnsi="Times New Roman"/>
      <w:sz w:val="24"/>
      <w:szCs w:val="24"/>
      <w:lang w:eastAsia="fr-CH"/>
    </w:rPr>
  </w:style>
  <w:style w:type="paragraph" w:styleId="TOCHeading">
    <w:name w:val="TOC Heading"/>
    <w:basedOn w:val="Heading1"/>
    <w:next w:val="Normal"/>
    <w:uiPriority w:val="99"/>
    <w:qFormat/>
    <w:rsid w:val="005503E3"/>
    <w:pPr>
      <w:spacing w:line="259" w:lineRule="auto"/>
      <w:jc w:val="left"/>
      <w:outlineLvl w:val="9"/>
    </w:pPr>
    <w:rPr>
      <w:lang w:eastAsia="fr-CH"/>
    </w:rPr>
  </w:style>
  <w:style w:type="paragraph" w:styleId="TOC2">
    <w:name w:val="toc 2"/>
    <w:basedOn w:val="Normal"/>
    <w:next w:val="Normal"/>
    <w:autoRedefine/>
    <w:uiPriority w:val="39"/>
    <w:rsid w:val="005503E3"/>
    <w:pPr>
      <w:spacing w:after="100"/>
      <w:ind w:left="220"/>
    </w:pPr>
  </w:style>
  <w:style w:type="paragraph" w:styleId="TOC3">
    <w:name w:val="toc 3"/>
    <w:basedOn w:val="Normal"/>
    <w:next w:val="Normal"/>
    <w:autoRedefine/>
    <w:uiPriority w:val="99"/>
    <w:rsid w:val="005503E3"/>
    <w:pPr>
      <w:spacing w:after="100"/>
      <w:ind w:left="440"/>
    </w:pPr>
  </w:style>
  <w:style w:type="character" w:styleId="Hyperlink">
    <w:name w:val="Hyperlink"/>
    <w:basedOn w:val="DefaultParagraphFont"/>
    <w:uiPriority w:val="99"/>
    <w:rsid w:val="005503E3"/>
    <w:rPr>
      <w:rFonts w:cs="Times New Roman"/>
      <w:color w:val="0000FF"/>
      <w:u w:val="single"/>
    </w:rPr>
  </w:style>
  <w:style w:type="paragraph" w:styleId="TableofFigures">
    <w:name w:val="table of figures"/>
    <w:basedOn w:val="Normal"/>
    <w:next w:val="Normal"/>
    <w:uiPriority w:val="99"/>
    <w:rsid w:val="005503E3"/>
    <w:pPr>
      <w:spacing w:after="0"/>
    </w:pPr>
  </w:style>
  <w:style w:type="paragraph" w:styleId="FootnoteText">
    <w:name w:val="footnote text"/>
    <w:basedOn w:val="Normal"/>
    <w:link w:val="FootnoteTextChar"/>
    <w:uiPriority w:val="99"/>
    <w:semiHidden/>
    <w:rsid w:val="007329C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329CB"/>
    <w:rPr>
      <w:rFonts w:ascii="Tahoma" w:hAnsi="Tahoma" w:cs="Times New Roman"/>
      <w:sz w:val="20"/>
      <w:szCs w:val="20"/>
    </w:rPr>
  </w:style>
  <w:style w:type="character" w:styleId="FootnoteReference">
    <w:name w:val="footnote reference"/>
    <w:basedOn w:val="DefaultParagraphFont"/>
    <w:uiPriority w:val="99"/>
    <w:semiHidden/>
    <w:rsid w:val="007329CB"/>
    <w:rPr>
      <w:rFonts w:cs="Times New Roman"/>
      <w:vertAlign w:val="superscript"/>
    </w:rPr>
  </w:style>
  <w:style w:type="paragraph" w:styleId="TOC1">
    <w:name w:val="toc 1"/>
    <w:basedOn w:val="Normal"/>
    <w:next w:val="Normal"/>
    <w:autoRedefine/>
    <w:uiPriority w:val="39"/>
    <w:rsid w:val="0003045F"/>
    <w:pPr>
      <w:spacing w:after="100"/>
    </w:pPr>
  </w:style>
  <w:style w:type="table" w:styleId="TableGrid">
    <w:name w:val="Table Grid"/>
    <w:basedOn w:val="TableNormal"/>
    <w:rsid w:val="005866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792"/>
    <w:pPr>
      <w:autoSpaceDE w:val="0"/>
      <w:autoSpaceDN w:val="0"/>
      <w:adjustRightInd w:val="0"/>
    </w:pPr>
    <w:rPr>
      <w:rFonts w:ascii="Century Gothic" w:hAnsi="Century Gothic" w:cs="Century Gothic"/>
      <w:color w:val="000000"/>
      <w:sz w:val="24"/>
      <w:szCs w:val="24"/>
      <w:lang w:val="en-AU"/>
    </w:rPr>
  </w:style>
  <w:style w:type="paragraph" w:styleId="BodyText">
    <w:name w:val="Body Text"/>
    <w:basedOn w:val="Normal"/>
    <w:link w:val="BodyTextChar"/>
    <w:rsid w:val="007C5792"/>
    <w:pPr>
      <w:spacing w:after="120" w:line="240" w:lineRule="auto"/>
      <w:jc w:val="left"/>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7C5792"/>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7E702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7E7028"/>
    <w:rPr>
      <w:rFonts w:ascii="Tahoma" w:hAnsi="Tahoma" w:cs="Tahoma"/>
      <w:sz w:val="16"/>
      <w:szCs w:val="16"/>
      <w:lang w:val="fr-CH" w:eastAsia="en-US"/>
    </w:rPr>
  </w:style>
  <w:style w:type="character" w:customStyle="1" w:styleId="googqs-tidbit-0">
    <w:name w:val="goog_qs-tidbit-0"/>
    <w:basedOn w:val="DefaultParagraphFont"/>
    <w:rsid w:val="001E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8D35F5"/>
    <w:pPr>
      <w:spacing w:after="200" w:line="276" w:lineRule="auto"/>
      <w:jc w:val="both"/>
    </w:pPr>
    <w:rPr>
      <w:rFonts w:ascii="Tahoma" w:hAnsi="Tahoma"/>
      <w:lang w:val="fr-CH" w:eastAsia="en-US"/>
    </w:rPr>
  </w:style>
  <w:style w:type="paragraph" w:styleId="Heading1">
    <w:name w:val="heading 1"/>
    <w:basedOn w:val="Normal"/>
    <w:next w:val="Normal"/>
    <w:link w:val="Heading1Char"/>
    <w:uiPriority w:val="99"/>
    <w:qFormat/>
    <w:rsid w:val="0003045F"/>
    <w:pPr>
      <w:keepNext/>
      <w:keepLines/>
      <w:spacing w:before="240" w:after="0"/>
      <w:outlineLvl w:val="0"/>
    </w:pPr>
    <w:rPr>
      <w:rFonts w:eastAsia="SimSun"/>
      <w:b/>
      <w:sz w:val="28"/>
      <w:szCs w:val="32"/>
    </w:rPr>
  </w:style>
  <w:style w:type="paragraph" w:styleId="Heading2">
    <w:name w:val="heading 2"/>
    <w:basedOn w:val="Normal"/>
    <w:next w:val="Normal"/>
    <w:link w:val="Heading2Char"/>
    <w:uiPriority w:val="99"/>
    <w:qFormat/>
    <w:rsid w:val="0003045F"/>
    <w:pPr>
      <w:keepNext/>
      <w:keepLines/>
      <w:spacing w:before="40" w:after="0"/>
      <w:outlineLvl w:val="1"/>
    </w:pPr>
    <w:rPr>
      <w:rFonts w:eastAsia="SimSun"/>
      <w:b/>
      <w:sz w:val="24"/>
      <w:szCs w:val="26"/>
    </w:rPr>
  </w:style>
  <w:style w:type="paragraph" w:styleId="Heading3">
    <w:name w:val="heading 3"/>
    <w:basedOn w:val="Normal"/>
    <w:next w:val="Normal"/>
    <w:link w:val="Heading3Char"/>
    <w:uiPriority w:val="99"/>
    <w:qFormat/>
    <w:rsid w:val="0003045F"/>
    <w:pPr>
      <w:keepNext/>
      <w:keepLines/>
      <w:spacing w:before="40" w:after="0"/>
      <w:outlineLvl w:val="2"/>
    </w:pPr>
    <w:rPr>
      <w:rFonts w:eastAsia="SimSun"/>
      <w:b/>
      <w:szCs w:val="24"/>
    </w:rPr>
  </w:style>
  <w:style w:type="paragraph" w:styleId="Heading4">
    <w:name w:val="heading 4"/>
    <w:basedOn w:val="Normal"/>
    <w:next w:val="Normal"/>
    <w:link w:val="Heading4Char"/>
    <w:uiPriority w:val="99"/>
    <w:qFormat/>
    <w:rsid w:val="0003045F"/>
    <w:pPr>
      <w:keepNext/>
      <w:keepLines/>
      <w:spacing w:before="40" w:after="0"/>
      <w:outlineLvl w:val="3"/>
    </w:pPr>
    <w:rPr>
      <w:rFonts w:eastAsia="SimSun"/>
      <w:b/>
      <w:i/>
      <w:iCs/>
    </w:rPr>
  </w:style>
  <w:style w:type="paragraph" w:styleId="Heading5">
    <w:name w:val="heading 5"/>
    <w:basedOn w:val="Normal"/>
    <w:next w:val="Normal"/>
    <w:link w:val="Heading5Char"/>
    <w:uiPriority w:val="99"/>
    <w:qFormat/>
    <w:rsid w:val="001E2B74"/>
    <w:pPr>
      <w:keepNext/>
      <w:keepLines/>
      <w:spacing w:before="40" w:after="0"/>
      <w:outlineLvl w:val="4"/>
    </w:pPr>
    <w:rPr>
      <w:rFonts w:eastAsia="SimSun"/>
      <w:b/>
      <w:i/>
    </w:rPr>
  </w:style>
  <w:style w:type="paragraph" w:styleId="Heading6">
    <w:name w:val="heading 6"/>
    <w:basedOn w:val="Normal"/>
    <w:next w:val="Normal"/>
    <w:link w:val="Heading6Char"/>
    <w:uiPriority w:val="99"/>
    <w:qFormat/>
    <w:rsid w:val="001E2B74"/>
    <w:pPr>
      <w:keepNext/>
      <w:keepLines/>
      <w:spacing w:before="40" w:after="0"/>
      <w:outlineLvl w:val="5"/>
    </w:pPr>
    <w:rPr>
      <w:rFonts w:eastAsia="SimSun"/>
      <w:i/>
    </w:rPr>
  </w:style>
  <w:style w:type="paragraph" w:styleId="Heading7">
    <w:name w:val="heading 7"/>
    <w:basedOn w:val="Normal"/>
    <w:next w:val="Normal"/>
    <w:link w:val="Heading7Char"/>
    <w:uiPriority w:val="99"/>
    <w:qFormat/>
    <w:rsid w:val="001E2B74"/>
    <w:pPr>
      <w:keepNext/>
      <w:keepLines/>
      <w:spacing w:before="40" w:after="0"/>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45F"/>
    <w:rPr>
      <w:rFonts w:ascii="Tahoma" w:eastAsia="SimSun" w:hAnsi="Tahoma" w:cs="Times New Roman"/>
      <w:b/>
      <w:sz w:val="32"/>
      <w:szCs w:val="32"/>
    </w:rPr>
  </w:style>
  <w:style w:type="character" w:customStyle="1" w:styleId="Heading2Char">
    <w:name w:val="Heading 2 Char"/>
    <w:basedOn w:val="DefaultParagraphFont"/>
    <w:link w:val="Heading2"/>
    <w:uiPriority w:val="99"/>
    <w:locked/>
    <w:rsid w:val="0003045F"/>
    <w:rPr>
      <w:rFonts w:ascii="Tahoma" w:eastAsia="SimSun" w:hAnsi="Tahoma" w:cs="Times New Roman"/>
      <w:b/>
      <w:sz w:val="26"/>
      <w:szCs w:val="26"/>
    </w:rPr>
  </w:style>
  <w:style w:type="character" w:customStyle="1" w:styleId="Heading3Char">
    <w:name w:val="Heading 3 Char"/>
    <w:basedOn w:val="DefaultParagraphFont"/>
    <w:link w:val="Heading3"/>
    <w:uiPriority w:val="99"/>
    <w:locked/>
    <w:rsid w:val="0003045F"/>
    <w:rPr>
      <w:rFonts w:ascii="Tahoma" w:eastAsia="SimSun" w:hAnsi="Tahoma" w:cs="Times New Roman"/>
      <w:b/>
      <w:sz w:val="24"/>
      <w:szCs w:val="24"/>
    </w:rPr>
  </w:style>
  <w:style w:type="character" w:customStyle="1" w:styleId="Heading4Char">
    <w:name w:val="Heading 4 Char"/>
    <w:basedOn w:val="DefaultParagraphFont"/>
    <w:link w:val="Heading4"/>
    <w:uiPriority w:val="99"/>
    <w:locked/>
    <w:rsid w:val="0003045F"/>
    <w:rPr>
      <w:rFonts w:ascii="Tahoma" w:eastAsia="SimSun" w:hAnsi="Tahoma" w:cs="Times New Roman"/>
      <w:b/>
      <w:i/>
      <w:iCs/>
    </w:rPr>
  </w:style>
  <w:style w:type="character" w:customStyle="1" w:styleId="Heading5Char">
    <w:name w:val="Heading 5 Char"/>
    <w:basedOn w:val="DefaultParagraphFont"/>
    <w:link w:val="Heading5"/>
    <w:uiPriority w:val="99"/>
    <w:locked/>
    <w:rsid w:val="001E2B74"/>
    <w:rPr>
      <w:rFonts w:ascii="Tahoma" w:eastAsia="SimSun" w:hAnsi="Tahoma" w:cs="Times New Roman"/>
      <w:b/>
      <w:i/>
    </w:rPr>
  </w:style>
  <w:style w:type="character" w:customStyle="1" w:styleId="Heading6Char">
    <w:name w:val="Heading 6 Char"/>
    <w:basedOn w:val="DefaultParagraphFont"/>
    <w:link w:val="Heading6"/>
    <w:uiPriority w:val="99"/>
    <w:locked/>
    <w:rsid w:val="001E2B74"/>
    <w:rPr>
      <w:rFonts w:ascii="Tahoma" w:eastAsia="SimSun" w:hAnsi="Tahoma" w:cs="Times New Roman"/>
      <w:i/>
    </w:rPr>
  </w:style>
  <w:style w:type="character" w:customStyle="1" w:styleId="Heading7Char">
    <w:name w:val="Heading 7 Char"/>
    <w:basedOn w:val="DefaultParagraphFont"/>
    <w:link w:val="Heading7"/>
    <w:uiPriority w:val="99"/>
    <w:locked/>
    <w:rsid w:val="001E2B74"/>
    <w:rPr>
      <w:rFonts w:ascii="Tahoma" w:eastAsia="SimSun" w:hAnsi="Tahoma" w:cs="Times New Roman"/>
      <w:i/>
      <w:iCs/>
    </w:rPr>
  </w:style>
  <w:style w:type="paragraph" w:styleId="Header">
    <w:name w:val="header"/>
    <w:basedOn w:val="Normal"/>
    <w:link w:val="HeaderChar"/>
    <w:uiPriority w:val="99"/>
    <w:rsid w:val="004A06F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06FC"/>
    <w:rPr>
      <w:rFonts w:cs="Times New Roman"/>
    </w:rPr>
  </w:style>
  <w:style w:type="paragraph" w:styleId="Footer">
    <w:name w:val="footer"/>
    <w:basedOn w:val="Normal"/>
    <w:link w:val="FooterChar"/>
    <w:uiPriority w:val="99"/>
    <w:rsid w:val="004A06F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06FC"/>
    <w:rPr>
      <w:rFonts w:cs="Times New Roman"/>
    </w:rPr>
  </w:style>
  <w:style w:type="paragraph" w:styleId="ListParagraph">
    <w:name w:val="List Paragraph"/>
    <w:basedOn w:val="Normal"/>
    <w:uiPriority w:val="99"/>
    <w:qFormat/>
    <w:rsid w:val="004A06FC"/>
    <w:pPr>
      <w:ind w:left="720"/>
      <w:contextualSpacing/>
    </w:pPr>
  </w:style>
  <w:style w:type="paragraph" w:styleId="Subtitle">
    <w:name w:val="Subtitle"/>
    <w:basedOn w:val="Normal"/>
    <w:next w:val="Normal"/>
    <w:link w:val="SubtitleChar"/>
    <w:uiPriority w:val="99"/>
    <w:qFormat/>
    <w:rsid w:val="004A06FC"/>
    <w:pPr>
      <w:numPr>
        <w:ilvl w:val="1"/>
      </w:numPr>
      <w:spacing w:after="160"/>
    </w:pPr>
    <w:rPr>
      <w:rFonts w:eastAsia="SimSun"/>
      <w:b/>
      <w:spacing w:val="15"/>
    </w:rPr>
  </w:style>
  <w:style w:type="character" w:customStyle="1" w:styleId="SubtitleChar">
    <w:name w:val="Subtitle Char"/>
    <w:basedOn w:val="DefaultParagraphFont"/>
    <w:link w:val="Subtitle"/>
    <w:uiPriority w:val="99"/>
    <w:locked/>
    <w:rsid w:val="004A06FC"/>
    <w:rPr>
      <w:rFonts w:ascii="Tahoma" w:eastAsia="SimSun" w:hAnsi="Tahoma" w:cs="Times New Roman"/>
      <w:b/>
      <w:spacing w:val="15"/>
    </w:rPr>
  </w:style>
  <w:style w:type="paragraph" w:styleId="Quote">
    <w:name w:val="Quote"/>
    <w:basedOn w:val="Normal"/>
    <w:next w:val="Normal"/>
    <w:link w:val="QuoteChar"/>
    <w:uiPriority w:val="99"/>
    <w:qFormat/>
    <w:rsid w:val="001E2B74"/>
    <w:pPr>
      <w:spacing w:before="200" w:after="160"/>
      <w:ind w:left="864" w:right="864"/>
    </w:pPr>
    <w:rPr>
      <w:i/>
      <w:iCs/>
      <w:sz w:val="20"/>
    </w:rPr>
  </w:style>
  <w:style w:type="character" w:customStyle="1" w:styleId="QuoteChar">
    <w:name w:val="Quote Char"/>
    <w:basedOn w:val="DefaultParagraphFont"/>
    <w:link w:val="Quote"/>
    <w:uiPriority w:val="99"/>
    <w:locked/>
    <w:rsid w:val="001E2B74"/>
    <w:rPr>
      <w:rFonts w:ascii="Tahoma" w:hAnsi="Tahoma" w:cs="Times New Roman"/>
      <w:i/>
      <w:iCs/>
      <w:sz w:val="20"/>
    </w:rPr>
  </w:style>
  <w:style w:type="paragraph" w:styleId="Caption">
    <w:name w:val="caption"/>
    <w:basedOn w:val="Normal"/>
    <w:next w:val="Normal"/>
    <w:uiPriority w:val="99"/>
    <w:qFormat/>
    <w:rsid w:val="0004507F"/>
    <w:pPr>
      <w:spacing w:line="240" w:lineRule="auto"/>
    </w:pPr>
    <w:rPr>
      <w:i/>
      <w:iCs/>
      <w:color w:val="1F497D"/>
      <w:sz w:val="18"/>
      <w:szCs w:val="18"/>
    </w:rPr>
  </w:style>
  <w:style w:type="paragraph" w:styleId="NormalWeb">
    <w:name w:val="Normal (Web)"/>
    <w:basedOn w:val="Normal"/>
    <w:uiPriority w:val="99"/>
    <w:semiHidden/>
    <w:rsid w:val="008D35F5"/>
    <w:pPr>
      <w:spacing w:before="100" w:beforeAutospacing="1" w:after="100" w:afterAutospacing="1" w:line="240" w:lineRule="auto"/>
    </w:pPr>
    <w:rPr>
      <w:rFonts w:ascii="Times New Roman" w:eastAsia="Times New Roman" w:hAnsi="Times New Roman"/>
      <w:sz w:val="24"/>
      <w:szCs w:val="24"/>
      <w:lang w:eastAsia="fr-CH"/>
    </w:rPr>
  </w:style>
  <w:style w:type="paragraph" w:styleId="TOCHeading">
    <w:name w:val="TOC Heading"/>
    <w:basedOn w:val="Heading1"/>
    <w:next w:val="Normal"/>
    <w:uiPriority w:val="99"/>
    <w:qFormat/>
    <w:rsid w:val="005503E3"/>
    <w:pPr>
      <w:spacing w:line="259" w:lineRule="auto"/>
      <w:jc w:val="left"/>
      <w:outlineLvl w:val="9"/>
    </w:pPr>
    <w:rPr>
      <w:lang w:eastAsia="fr-CH"/>
    </w:rPr>
  </w:style>
  <w:style w:type="paragraph" w:styleId="TOC2">
    <w:name w:val="toc 2"/>
    <w:basedOn w:val="Normal"/>
    <w:next w:val="Normal"/>
    <w:autoRedefine/>
    <w:uiPriority w:val="39"/>
    <w:rsid w:val="005503E3"/>
    <w:pPr>
      <w:spacing w:after="100"/>
      <w:ind w:left="220"/>
    </w:pPr>
  </w:style>
  <w:style w:type="paragraph" w:styleId="TOC3">
    <w:name w:val="toc 3"/>
    <w:basedOn w:val="Normal"/>
    <w:next w:val="Normal"/>
    <w:autoRedefine/>
    <w:uiPriority w:val="99"/>
    <w:rsid w:val="005503E3"/>
    <w:pPr>
      <w:spacing w:after="100"/>
      <w:ind w:left="440"/>
    </w:pPr>
  </w:style>
  <w:style w:type="character" w:styleId="Hyperlink">
    <w:name w:val="Hyperlink"/>
    <w:basedOn w:val="DefaultParagraphFont"/>
    <w:uiPriority w:val="99"/>
    <w:rsid w:val="005503E3"/>
    <w:rPr>
      <w:rFonts w:cs="Times New Roman"/>
      <w:color w:val="0000FF"/>
      <w:u w:val="single"/>
    </w:rPr>
  </w:style>
  <w:style w:type="paragraph" w:styleId="TableofFigures">
    <w:name w:val="table of figures"/>
    <w:basedOn w:val="Normal"/>
    <w:next w:val="Normal"/>
    <w:uiPriority w:val="99"/>
    <w:rsid w:val="005503E3"/>
    <w:pPr>
      <w:spacing w:after="0"/>
    </w:pPr>
  </w:style>
  <w:style w:type="paragraph" w:styleId="FootnoteText">
    <w:name w:val="footnote text"/>
    <w:basedOn w:val="Normal"/>
    <w:link w:val="FootnoteTextChar"/>
    <w:uiPriority w:val="99"/>
    <w:semiHidden/>
    <w:rsid w:val="007329C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329CB"/>
    <w:rPr>
      <w:rFonts w:ascii="Tahoma" w:hAnsi="Tahoma" w:cs="Times New Roman"/>
      <w:sz w:val="20"/>
      <w:szCs w:val="20"/>
    </w:rPr>
  </w:style>
  <w:style w:type="character" w:styleId="FootnoteReference">
    <w:name w:val="footnote reference"/>
    <w:basedOn w:val="DefaultParagraphFont"/>
    <w:uiPriority w:val="99"/>
    <w:semiHidden/>
    <w:rsid w:val="007329CB"/>
    <w:rPr>
      <w:rFonts w:cs="Times New Roman"/>
      <w:vertAlign w:val="superscript"/>
    </w:rPr>
  </w:style>
  <w:style w:type="paragraph" w:styleId="TOC1">
    <w:name w:val="toc 1"/>
    <w:basedOn w:val="Normal"/>
    <w:next w:val="Normal"/>
    <w:autoRedefine/>
    <w:uiPriority w:val="39"/>
    <w:rsid w:val="0003045F"/>
    <w:pPr>
      <w:spacing w:after="100"/>
    </w:pPr>
  </w:style>
  <w:style w:type="table" w:styleId="TableGrid">
    <w:name w:val="Table Grid"/>
    <w:basedOn w:val="TableNormal"/>
    <w:rsid w:val="005866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792"/>
    <w:pPr>
      <w:autoSpaceDE w:val="0"/>
      <w:autoSpaceDN w:val="0"/>
      <w:adjustRightInd w:val="0"/>
    </w:pPr>
    <w:rPr>
      <w:rFonts w:ascii="Century Gothic" w:hAnsi="Century Gothic" w:cs="Century Gothic"/>
      <w:color w:val="000000"/>
      <w:sz w:val="24"/>
      <w:szCs w:val="24"/>
      <w:lang w:val="en-AU"/>
    </w:rPr>
  </w:style>
  <w:style w:type="paragraph" w:styleId="BodyText">
    <w:name w:val="Body Text"/>
    <w:basedOn w:val="Normal"/>
    <w:link w:val="BodyTextChar"/>
    <w:rsid w:val="007C5792"/>
    <w:pPr>
      <w:spacing w:after="120" w:line="240" w:lineRule="auto"/>
      <w:jc w:val="left"/>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7C5792"/>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7E702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7E7028"/>
    <w:rPr>
      <w:rFonts w:ascii="Tahoma" w:hAnsi="Tahoma" w:cs="Tahoma"/>
      <w:sz w:val="16"/>
      <w:szCs w:val="16"/>
      <w:lang w:val="fr-CH" w:eastAsia="en-US"/>
    </w:rPr>
  </w:style>
  <w:style w:type="character" w:customStyle="1" w:styleId="googqs-tidbit-0">
    <w:name w:val="goog_qs-tidbit-0"/>
    <w:basedOn w:val="DefaultParagraphFont"/>
    <w:rsid w:val="001E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7931">
      <w:marLeft w:val="0"/>
      <w:marRight w:val="0"/>
      <w:marTop w:val="0"/>
      <w:marBottom w:val="0"/>
      <w:divBdr>
        <w:top w:val="none" w:sz="0" w:space="0" w:color="auto"/>
        <w:left w:val="none" w:sz="0" w:space="0" w:color="auto"/>
        <w:bottom w:val="none" w:sz="0" w:space="0" w:color="auto"/>
        <w:right w:val="none" w:sz="0" w:space="0" w:color="auto"/>
      </w:divBdr>
    </w:div>
    <w:div w:id="445197932">
      <w:marLeft w:val="0"/>
      <w:marRight w:val="0"/>
      <w:marTop w:val="0"/>
      <w:marBottom w:val="0"/>
      <w:divBdr>
        <w:top w:val="none" w:sz="0" w:space="0" w:color="auto"/>
        <w:left w:val="none" w:sz="0" w:space="0" w:color="auto"/>
        <w:bottom w:val="none" w:sz="0" w:space="0" w:color="auto"/>
        <w:right w:val="none" w:sz="0" w:space="0" w:color="auto"/>
      </w:divBdr>
    </w:div>
    <w:div w:id="1785534517">
      <w:bodyDiv w:val="1"/>
      <w:marLeft w:val="0"/>
      <w:marRight w:val="0"/>
      <w:marTop w:val="0"/>
      <w:marBottom w:val="0"/>
      <w:divBdr>
        <w:top w:val="none" w:sz="0" w:space="0" w:color="auto"/>
        <w:left w:val="none" w:sz="0" w:space="0" w:color="auto"/>
        <w:bottom w:val="none" w:sz="0" w:space="0" w:color="auto"/>
        <w:right w:val="none" w:sz="0" w:space="0" w:color="auto"/>
      </w:divBdr>
      <w:divsChild>
        <w:div w:id="635179839">
          <w:marLeft w:val="0"/>
          <w:marRight w:val="0"/>
          <w:marTop w:val="0"/>
          <w:marBottom w:val="0"/>
          <w:divBdr>
            <w:top w:val="none" w:sz="0" w:space="0" w:color="auto"/>
            <w:left w:val="none" w:sz="0" w:space="0" w:color="auto"/>
            <w:bottom w:val="none" w:sz="0" w:space="0" w:color="auto"/>
            <w:right w:val="none" w:sz="0" w:space="0" w:color="auto"/>
          </w:divBdr>
          <w:divsChild>
            <w:div w:id="1312639736">
              <w:marLeft w:val="0"/>
              <w:marRight w:val="0"/>
              <w:marTop w:val="100"/>
              <w:marBottom w:val="100"/>
              <w:divBdr>
                <w:top w:val="none" w:sz="0" w:space="0" w:color="auto"/>
                <w:left w:val="none" w:sz="0" w:space="0" w:color="auto"/>
                <w:bottom w:val="none" w:sz="0" w:space="0" w:color="auto"/>
                <w:right w:val="none" w:sz="0" w:space="0" w:color="auto"/>
              </w:divBdr>
              <w:divsChild>
                <w:div w:id="1787508335">
                  <w:marLeft w:val="0"/>
                  <w:marRight w:val="0"/>
                  <w:marTop w:val="0"/>
                  <w:marBottom w:val="0"/>
                  <w:divBdr>
                    <w:top w:val="none" w:sz="0" w:space="0" w:color="auto"/>
                    <w:left w:val="none" w:sz="0" w:space="0" w:color="auto"/>
                    <w:bottom w:val="none" w:sz="0" w:space="0" w:color="auto"/>
                    <w:right w:val="none" w:sz="0" w:space="0" w:color="auto"/>
                  </w:divBdr>
                  <w:divsChild>
                    <w:div w:id="29187768">
                      <w:marLeft w:val="0"/>
                      <w:marRight w:val="0"/>
                      <w:marTop w:val="0"/>
                      <w:marBottom w:val="0"/>
                      <w:divBdr>
                        <w:top w:val="none" w:sz="0" w:space="0" w:color="auto"/>
                        <w:left w:val="none" w:sz="0" w:space="0" w:color="auto"/>
                        <w:bottom w:val="single" w:sz="6" w:space="0" w:color="CCCCCC"/>
                        <w:right w:val="none" w:sz="0" w:space="0" w:color="auto"/>
                      </w:divBdr>
                      <w:divsChild>
                        <w:div w:id="209001380">
                          <w:marLeft w:val="0"/>
                          <w:marRight w:val="0"/>
                          <w:marTop w:val="0"/>
                          <w:marBottom w:val="0"/>
                          <w:divBdr>
                            <w:top w:val="none" w:sz="0" w:space="0" w:color="auto"/>
                            <w:left w:val="none" w:sz="0" w:space="0" w:color="auto"/>
                            <w:bottom w:val="none" w:sz="0" w:space="0" w:color="auto"/>
                            <w:right w:val="none" w:sz="0" w:space="0" w:color="auto"/>
                          </w:divBdr>
                          <w:divsChild>
                            <w:div w:id="857961794">
                              <w:marLeft w:val="75"/>
                              <w:marRight w:val="0"/>
                              <w:marTop w:val="0"/>
                              <w:marBottom w:val="0"/>
                              <w:divBdr>
                                <w:top w:val="none" w:sz="0" w:space="0" w:color="auto"/>
                                <w:left w:val="none" w:sz="0" w:space="0" w:color="auto"/>
                                <w:bottom w:val="none" w:sz="0" w:space="0" w:color="auto"/>
                                <w:right w:val="none" w:sz="0" w:space="0" w:color="auto"/>
                              </w:divBdr>
                              <w:divsChild>
                                <w:div w:id="2134207744">
                                  <w:marLeft w:val="0"/>
                                  <w:marRight w:val="150"/>
                                  <w:marTop w:val="0"/>
                                  <w:marBottom w:val="150"/>
                                  <w:divBdr>
                                    <w:top w:val="none" w:sz="0" w:space="0" w:color="auto"/>
                                    <w:left w:val="none" w:sz="0" w:space="0" w:color="auto"/>
                                    <w:bottom w:val="none" w:sz="0" w:space="0" w:color="auto"/>
                                    <w:right w:val="none" w:sz="0" w:space="0" w:color="auto"/>
                                  </w:divBdr>
                                  <w:divsChild>
                                    <w:div w:id="1167787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699518">
      <w:bodyDiv w:val="1"/>
      <w:marLeft w:val="0"/>
      <w:marRight w:val="0"/>
      <w:marTop w:val="0"/>
      <w:marBottom w:val="0"/>
      <w:divBdr>
        <w:top w:val="none" w:sz="0" w:space="0" w:color="auto"/>
        <w:left w:val="none" w:sz="0" w:space="0" w:color="auto"/>
        <w:bottom w:val="none" w:sz="0" w:space="0" w:color="auto"/>
        <w:right w:val="none" w:sz="0" w:space="0" w:color="auto"/>
      </w:divBdr>
      <w:divsChild>
        <w:div w:id="830096689">
          <w:marLeft w:val="0"/>
          <w:marRight w:val="0"/>
          <w:marTop w:val="0"/>
          <w:marBottom w:val="0"/>
          <w:divBdr>
            <w:top w:val="none" w:sz="0" w:space="0" w:color="auto"/>
            <w:left w:val="none" w:sz="0" w:space="0" w:color="auto"/>
            <w:bottom w:val="none" w:sz="0" w:space="0" w:color="auto"/>
            <w:right w:val="none" w:sz="0" w:space="0" w:color="auto"/>
          </w:divBdr>
          <w:divsChild>
            <w:div w:id="1978367907">
              <w:marLeft w:val="0"/>
              <w:marRight w:val="0"/>
              <w:marTop w:val="0"/>
              <w:marBottom w:val="0"/>
              <w:divBdr>
                <w:top w:val="dotted" w:sz="2" w:space="0" w:color="DDDDDD"/>
                <w:left w:val="single" w:sz="6" w:space="0" w:color="C1C1CC"/>
                <w:bottom w:val="single" w:sz="6" w:space="24" w:color="C1C1CC"/>
                <w:right w:val="single" w:sz="6" w:space="0" w:color="C1C1CC"/>
              </w:divBdr>
              <w:divsChild>
                <w:div w:id="800877729">
                  <w:marLeft w:val="0"/>
                  <w:marRight w:val="0"/>
                  <w:marTop w:val="0"/>
                  <w:marBottom w:val="0"/>
                  <w:divBdr>
                    <w:top w:val="none" w:sz="0" w:space="0" w:color="auto"/>
                    <w:left w:val="none" w:sz="0" w:space="0" w:color="auto"/>
                    <w:bottom w:val="none" w:sz="0" w:space="0" w:color="auto"/>
                    <w:right w:val="none" w:sz="0" w:space="0" w:color="auto"/>
                  </w:divBdr>
                  <w:divsChild>
                    <w:div w:id="323047117">
                      <w:marLeft w:val="0"/>
                      <w:marRight w:val="0"/>
                      <w:marTop w:val="0"/>
                      <w:marBottom w:val="0"/>
                      <w:divBdr>
                        <w:top w:val="none" w:sz="0" w:space="0" w:color="auto"/>
                        <w:left w:val="none" w:sz="0" w:space="0" w:color="auto"/>
                        <w:bottom w:val="none" w:sz="0" w:space="0" w:color="auto"/>
                        <w:right w:val="none" w:sz="0" w:space="0" w:color="auto"/>
                      </w:divBdr>
                      <w:divsChild>
                        <w:div w:id="645284646">
                          <w:marLeft w:val="0"/>
                          <w:marRight w:val="0"/>
                          <w:marTop w:val="0"/>
                          <w:marBottom w:val="0"/>
                          <w:divBdr>
                            <w:top w:val="none" w:sz="0" w:space="0" w:color="auto"/>
                            <w:left w:val="none" w:sz="0" w:space="0" w:color="auto"/>
                            <w:bottom w:val="none" w:sz="0" w:space="0" w:color="auto"/>
                            <w:right w:val="none" w:sz="0" w:space="0" w:color="auto"/>
                          </w:divBdr>
                          <w:divsChild>
                            <w:div w:id="1055154387">
                              <w:marLeft w:val="0"/>
                              <w:marRight w:val="0"/>
                              <w:marTop w:val="0"/>
                              <w:marBottom w:val="0"/>
                              <w:divBdr>
                                <w:top w:val="none" w:sz="0" w:space="0" w:color="auto"/>
                                <w:left w:val="none" w:sz="0" w:space="0" w:color="auto"/>
                                <w:bottom w:val="none" w:sz="0" w:space="0" w:color="auto"/>
                                <w:right w:val="none" w:sz="0" w:space="0" w:color="auto"/>
                              </w:divBdr>
                              <w:divsChild>
                                <w:div w:id="309411262">
                                  <w:marLeft w:val="0"/>
                                  <w:marRight w:val="0"/>
                                  <w:marTop w:val="0"/>
                                  <w:marBottom w:val="0"/>
                                  <w:divBdr>
                                    <w:top w:val="none" w:sz="0" w:space="0" w:color="auto"/>
                                    <w:left w:val="none" w:sz="0" w:space="0" w:color="auto"/>
                                    <w:bottom w:val="none" w:sz="0" w:space="0" w:color="auto"/>
                                    <w:right w:val="none" w:sz="0" w:space="0" w:color="auto"/>
                                  </w:divBdr>
                                  <w:divsChild>
                                    <w:div w:id="1990405457">
                                      <w:marLeft w:val="0"/>
                                      <w:marRight w:val="0"/>
                                      <w:marTop w:val="0"/>
                                      <w:marBottom w:val="0"/>
                                      <w:divBdr>
                                        <w:top w:val="none" w:sz="0" w:space="0" w:color="auto"/>
                                        <w:left w:val="none" w:sz="0" w:space="0" w:color="auto"/>
                                        <w:bottom w:val="none" w:sz="0" w:space="0" w:color="auto"/>
                                        <w:right w:val="none" w:sz="0" w:space="0" w:color="auto"/>
                                      </w:divBdr>
                                      <w:divsChild>
                                        <w:div w:id="54091692">
                                          <w:marLeft w:val="0"/>
                                          <w:marRight w:val="0"/>
                                          <w:marTop w:val="0"/>
                                          <w:marBottom w:val="0"/>
                                          <w:divBdr>
                                            <w:top w:val="none" w:sz="0" w:space="0" w:color="auto"/>
                                            <w:left w:val="none" w:sz="0" w:space="0" w:color="auto"/>
                                            <w:bottom w:val="none" w:sz="0" w:space="0" w:color="auto"/>
                                            <w:right w:val="none" w:sz="0" w:space="0" w:color="auto"/>
                                          </w:divBdr>
                                          <w:divsChild>
                                            <w:div w:id="1178546943">
                                              <w:marLeft w:val="0"/>
                                              <w:marRight w:val="0"/>
                                              <w:marTop w:val="0"/>
                                              <w:marBottom w:val="0"/>
                                              <w:divBdr>
                                                <w:top w:val="none" w:sz="0" w:space="0" w:color="auto"/>
                                                <w:left w:val="none" w:sz="0" w:space="0" w:color="auto"/>
                                                <w:bottom w:val="none" w:sz="0" w:space="0" w:color="auto"/>
                                                <w:right w:val="none" w:sz="0" w:space="0" w:color="auto"/>
                                              </w:divBdr>
                                              <w:divsChild>
                                                <w:div w:id="402486298">
                                                  <w:marLeft w:val="0"/>
                                                  <w:marRight w:val="0"/>
                                                  <w:marTop w:val="0"/>
                                                  <w:marBottom w:val="0"/>
                                                  <w:divBdr>
                                                    <w:top w:val="none" w:sz="0" w:space="0" w:color="auto"/>
                                                    <w:left w:val="none" w:sz="0" w:space="0" w:color="auto"/>
                                                    <w:bottom w:val="none" w:sz="0" w:space="0" w:color="auto"/>
                                                    <w:right w:val="none" w:sz="0" w:space="0" w:color="auto"/>
                                                  </w:divBdr>
                                                  <w:divsChild>
                                                    <w:div w:id="2075009887">
                                                      <w:marLeft w:val="0"/>
                                                      <w:marRight w:val="0"/>
                                                      <w:marTop w:val="0"/>
                                                      <w:marBottom w:val="0"/>
                                                      <w:divBdr>
                                                        <w:top w:val="none" w:sz="0" w:space="0" w:color="auto"/>
                                                        <w:left w:val="none" w:sz="0" w:space="0" w:color="auto"/>
                                                        <w:bottom w:val="none" w:sz="0" w:space="0" w:color="auto"/>
                                                        <w:right w:val="none" w:sz="0" w:space="0" w:color="auto"/>
                                                      </w:divBdr>
                                                      <w:divsChild>
                                                        <w:div w:id="1539078549">
                                                          <w:marLeft w:val="0"/>
                                                          <w:marRight w:val="0"/>
                                                          <w:marTop w:val="0"/>
                                                          <w:marBottom w:val="0"/>
                                                          <w:divBdr>
                                                            <w:top w:val="none" w:sz="0" w:space="0" w:color="auto"/>
                                                            <w:left w:val="none" w:sz="0" w:space="0" w:color="auto"/>
                                                            <w:bottom w:val="none" w:sz="0" w:space="0" w:color="auto"/>
                                                            <w:right w:val="none" w:sz="0" w:space="0" w:color="auto"/>
                                                          </w:divBdr>
                                                          <w:divsChild>
                                                            <w:div w:id="1192524931">
                                                              <w:marLeft w:val="0"/>
                                                              <w:marRight w:val="0"/>
                                                              <w:marTop w:val="0"/>
                                                              <w:marBottom w:val="0"/>
                                                              <w:divBdr>
                                                                <w:top w:val="none" w:sz="0" w:space="0" w:color="auto"/>
                                                                <w:left w:val="none" w:sz="0" w:space="0" w:color="auto"/>
                                                                <w:bottom w:val="none" w:sz="0" w:space="0" w:color="auto"/>
                                                                <w:right w:val="none" w:sz="0" w:space="0" w:color="auto"/>
                                                              </w:divBdr>
                                                              <w:divsChild>
                                                                <w:div w:id="127809802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orks.bepress.com/neil_dufty/2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hools.aemi.edu.au" TargetMode="External"/><Relationship Id="rId17" Type="http://schemas.openxmlformats.org/officeDocument/2006/relationships/hyperlink" Target="http://www.unisdr.org/who-we-are/what-is-drr" TargetMode="External"/><Relationship Id="rId2" Type="http://schemas.openxmlformats.org/officeDocument/2006/relationships/numbering" Target="numbering.xml"/><Relationship Id="rId16" Type="http://schemas.openxmlformats.org/officeDocument/2006/relationships/hyperlink" Target="http://www.rubic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nsw.gov.au/discover_collections/people_places/caergwrle/mycountry/index.html" TargetMode="External"/><Relationship Id="rId5" Type="http://schemas.openxmlformats.org/officeDocument/2006/relationships/settings" Target="settings.xml"/><Relationship Id="rId15" Type="http://schemas.openxmlformats.org/officeDocument/2006/relationships/hyperlink" Target="http://en.wikipedia.org/wiki/The_Spectator"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n.wikipedia.org/wiki/Dorothea_Mackel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94D9-EAC0-4769-934E-85F71FDA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16</Pages>
  <Words>4954</Words>
  <Characters>30568</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Neil Dufty</cp:lastModifiedBy>
  <cp:revision>51</cp:revision>
  <cp:lastPrinted>2014-03-05T23:02:00Z</cp:lastPrinted>
  <dcterms:created xsi:type="dcterms:W3CDTF">2014-03-03T00:25:00Z</dcterms:created>
  <dcterms:modified xsi:type="dcterms:W3CDTF">2014-03-06T02:34:00Z</dcterms:modified>
</cp:coreProperties>
</file>